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6E89E" w14:textId="77777777" w:rsidR="009F762E" w:rsidRPr="00242DFB" w:rsidRDefault="00000000" w:rsidP="002A0E52">
      <w:pPr>
        <w:spacing w:line="360" w:lineRule="auto"/>
        <w:jc w:val="both"/>
        <w:rPr>
          <w:rStyle w:val="FootnoteCharacters"/>
          <w:rFonts w:ascii="Arial" w:hAnsi="Arial" w:cs="Arial"/>
          <w:color w:val="000000" w:themeColor="text1"/>
        </w:rPr>
      </w:pPr>
      <w:r w:rsidRPr="00242DFB">
        <w:rPr>
          <w:rFonts w:ascii="Arial" w:hAnsi="Arial" w:cs="Arial"/>
          <w:noProof/>
          <w:color w:val="000000"/>
        </w:rPr>
        <w:drawing>
          <wp:anchor distT="0" distB="0" distL="0" distR="0" simplePos="0" relativeHeight="251656704" behindDoc="1" locked="0" layoutInCell="0" allowOverlap="1" wp14:anchorId="02870B1D" wp14:editId="11C20612">
            <wp:simplePos x="0" y="0"/>
            <wp:positionH relativeFrom="margin">
              <wp:align>center</wp:align>
            </wp:positionH>
            <wp:positionV relativeFrom="paragraph">
              <wp:posOffset>-99695</wp:posOffset>
            </wp:positionV>
            <wp:extent cx="781685" cy="1101725"/>
            <wp:effectExtent l="0" t="0" r="0" b="0"/>
            <wp:wrapNone/>
            <wp:docPr id="1" name="Imagen 5"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5" descr="Logotipo&#10;&#10;El contenido generado por IA puede ser incorrecto."/>
                    <pic:cNvPicPr>
                      <a:picLocks noChangeAspect="1" noChangeArrowheads="1"/>
                    </pic:cNvPicPr>
                  </pic:nvPicPr>
                  <pic:blipFill>
                    <a:blip r:embed="rId11"/>
                    <a:srcRect r="2902"/>
                    <a:stretch>
                      <a:fillRect/>
                    </a:stretch>
                  </pic:blipFill>
                  <pic:spPr bwMode="auto">
                    <a:xfrm>
                      <a:off x="0" y="0"/>
                      <a:ext cx="781685" cy="1101725"/>
                    </a:xfrm>
                    <a:prstGeom prst="rect">
                      <a:avLst/>
                    </a:prstGeom>
                    <a:noFill/>
                  </pic:spPr>
                </pic:pic>
              </a:graphicData>
            </a:graphic>
          </wp:anchor>
        </w:drawing>
      </w:r>
    </w:p>
    <w:p w14:paraId="4946A1E8" w14:textId="77777777" w:rsidR="009F762E" w:rsidRPr="00242DFB" w:rsidRDefault="009F762E" w:rsidP="002A0E52">
      <w:pPr>
        <w:spacing w:line="360" w:lineRule="auto"/>
        <w:jc w:val="both"/>
        <w:rPr>
          <w:rStyle w:val="FootnoteCharacters"/>
          <w:rFonts w:ascii="Arial" w:hAnsi="Arial" w:cs="Arial"/>
          <w:color w:val="000000" w:themeColor="text1"/>
        </w:rPr>
      </w:pPr>
    </w:p>
    <w:p w14:paraId="35BE1713" w14:textId="77777777" w:rsidR="009F762E" w:rsidRPr="00242DFB" w:rsidRDefault="009F762E" w:rsidP="002A0E52">
      <w:pPr>
        <w:spacing w:line="360" w:lineRule="auto"/>
        <w:jc w:val="both"/>
        <w:rPr>
          <w:rFonts w:ascii="Arial" w:hAnsi="Arial" w:cs="Arial"/>
          <w:b/>
          <w:bCs/>
          <w:color w:val="000000" w:themeColor="text1"/>
        </w:rPr>
      </w:pPr>
    </w:p>
    <w:p w14:paraId="58880CEA" w14:textId="77777777" w:rsidR="009F762E" w:rsidRPr="00242DFB" w:rsidRDefault="009F762E" w:rsidP="002A0E52">
      <w:pPr>
        <w:spacing w:line="360" w:lineRule="auto"/>
        <w:jc w:val="both"/>
        <w:rPr>
          <w:rFonts w:ascii="Arial" w:hAnsi="Arial" w:cs="Arial"/>
          <w:b/>
          <w:bCs/>
          <w:color w:val="000000" w:themeColor="text1"/>
        </w:rPr>
      </w:pPr>
    </w:p>
    <w:p w14:paraId="7664651D" w14:textId="77777777" w:rsidR="009F762E" w:rsidRPr="00242DFB" w:rsidRDefault="009F762E" w:rsidP="002A0E52">
      <w:pPr>
        <w:spacing w:line="360" w:lineRule="auto"/>
        <w:jc w:val="both"/>
        <w:rPr>
          <w:rFonts w:ascii="Arial" w:hAnsi="Arial" w:cs="Arial"/>
          <w:b/>
          <w:bCs/>
          <w:color w:val="000000" w:themeColor="text1"/>
        </w:rPr>
      </w:pPr>
    </w:p>
    <w:p w14:paraId="04881043" w14:textId="77777777" w:rsidR="009F762E" w:rsidRPr="00242DFB" w:rsidRDefault="009F762E" w:rsidP="002A0E52">
      <w:pPr>
        <w:spacing w:line="360" w:lineRule="auto"/>
        <w:jc w:val="center"/>
        <w:rPr>
          <w:rFonts w:ascii="Arial" w:hAnsi="Arial" w:cs="Arial"/>
          <w:b/>
          <w:bCs/>
          <w:color w:val="000000" w:themeColor="text1"/>
          <w:sz w:val="32"/>
          <w:szCs w:val="32"/>
        </w:rPr>
      </w:pPr>
    </w:p>
    <w:p w14:paraId="72E47E3A" w14:textId="77777777" w:rsidR="009F762E" w:rsidRPr="00242DFB" w:rsidRDefault="00000000" w:rsidP="002A0E52">
      <w:pPr>
        <w:spacing w:line="360" w:lineRule="auto"/>
        <w:jc w:val="center"/>
        <w:rPr>
          <w:rFonts w:ascii="Arial" w:hAnsi="Arial" w:cs="Arial"/>
          <w:b/>
          <w:bCs/>
          <w:color w:val="000000" w:themeColor="text1"/>
          <w:sz w:val="32"/>
          <w:szCs w:val="32"/>
        </w:rPr>
      </w:pPr>
      <w:r w:rsidRPr="00242DFB">
        <w:rPr>
          <w:rFonts w:ascii="Arial" w:hAnsi="Arial" w:cs="Arial"/>
          <w:b/>
          <w:bCs/>
          <w:color w:val="000000"/>
          <w:sz w:val="32"/>
          <w:szCs w:val="32"/>
        </w:rPr>
        <w:t>SECRETARÍA DISTRITAL DE SALUD</w:t>
      </w:r>
    </w:p>
    <w:p w14:paraId="42CB777F" w14:textId="77777777" w:rsidR="009F762E" w:rsidRPr="00242DFB" w:rsidRDefault="009F762E" w:rsidP="002A0E52">
      <w:pPr>
        <w:spacing w:line="360" w:lineRule="auto"/>
        <w:jc w:val="center"/>
        <w:rPr>
          <w:rFonts w:ascii="Arial" w:hAnsi="Arial" w:cs="Arial"/>
          <w:b/>
          <w:bCs/>
          <w:color w:val="000000" w:themeColor="text1"/>
          <w:sz w:val="32"/>
          <w:szCs w:val="32"/>
        </w:rPr>
      </w:pPr>
    </w:p>
    <w:p w14:paraId="12B429DE" w14:textId="77777777" w:rsidR="009F762E" w:rsidRPr="00242DFB" w:rsidRDefault="009F762E" w:rsidP="002A0E52">
      <w:pPr>
        <w:spacing w:line="360" w:lineRule="auto"/>
        <w:jc w:val="center"/>
        <w:rPr>
          <w:rFonts w:ascii="Arial" w:hAnsi="Arial" w:cs="Arial"/>
          <w:b/>
          <w:bCs/>
          <w:color w:val="000000" w:themeColor="text1"/>
          <w:sz w:val="32"/>
          <w:szCs w:val="32"/>
        </w:rPr>
      </w:pPr>
    </w:p>
    <w:p w14:paraId="24B6DE40" w14:textId="77777777" w:rsidR="009F762E" w:rsidRPr="00242DFB" w:rsidRDefault="009F762E" w:rsidP="002A0E52">
      <w:pPr>
        <w:spacing w:line="360" w:lineRule="auto"/>
        <w:jc w:val="center"/>
        <w:rPr>
          <w:rFonts w:ascii="Arial" w:hAnsi="Arial" w:cs="Arial"/>
          <w:b/>
          <w:bCs/>
          <w:color w:val="000000" w:themeColor="text1"/>
          <w:sz w:val="32"/>
          <w:szCs w:val="32"/>
        </w:rPr>
      </w:pPr>
    </w:p>
    <w:p w14:paraId="1679045C" w14:textId="77777777" w:rsidR="009F762E" w:rsidRPr="00242DFB" w:rsidRDefault="009F762E" w:rsidP="002A0E52">
      <w:pPr>
        <w:spacing w:line="360" w:lineRule="auto"/>
        <w:jc w:val="center"/>
        <w:rPr>
          <w:rFonts w:ascii="Arial" w:hAnsi="Arial" w:cs="Arial"/>
          <w:b/>
          <w:bCs/>
          <w:color w:val="000000" w:themeColor="text1"/>
          <w:sz w:val="32"/>
          <w:szCs w:val="32"/>
        </w:rPr>
      </w:pPr>
    </w:p>
    <w:p w14:paraId="3BA8FF5C" w14:textId="77777777" w:rsidR="009F762E" w:rsidRPr="00242DFB" w:rsidRDefault="00000000" w:rsidP="002A0E52">
      <w:pPr>
        <w:spacing w:line="360" w:lineRule="auto"/>
        <w:jc w:val="center"/>
        <w:rPr>
          <w:rFonts w:ascii="Arial" w:hAnsi="Arial" w:cs="Arial"/>
          <w:b/>
          <w:bCs/>
          <w:color w:val="000000" w:themeColor="text1"/>
          <w:sz w:val="32"/>
          <w:szCs w:val="32"/>
        </w:rPr>
      </w:pPr>
      <w:bookmarkStart w:id="0" w:name="_Hlk201318273"/>
      <w:r w:rsidRPr="00242DFB">
        <w:rPr>
          <w:rFonts w:ascii="Arial" w:hAnsi="Arial" w:cs="Arial"/>
          <w:b/>
          <w:bCs/>
          <w:color w:val="000000"/>
          <w:sz w:val="32"/>
          <w:szCs w:val="32"/>
        </w:rPr>
        <w:t>DIRECCIÓN DE ASEGURAMIENTO Y GARANTÍA DEL DERECHO A LA SALUD</w:t>
      </w:r>
      <w:bookmarkEnd w:id="0"/>
    </w:p>
    <w:p w14:paraId="5D594044" w14:textId="77777777" w:rsidR="009F762E" w:rsidRPr="00242DFB" w:rsidRDefault="009F762E" w:rsidP="002A0E52">
      <w:pPr>
        <w:spacing w:line="360" w:lineRule="auto"/>
        <w:jc w:val="center"/>
        <w:rPr>
          <w:rFonts w:ascii="Arial" w:hAnsi="Arial" w:cs="Arial"/>
          <w:b/>
          <w:bCs/>
          <w:color w:val="000000" w:themeColor="text1"/>
          <w:sz w:val="32"/>
          <w:szCs w:val="32"/>
        </w:rPr>
      </w:pPr>
    </w:p>
    <w:p w14:paraId="6D2FE2AF" w14:textId="77777777" w:rsidR="009F762E" w:rsidRPr="00242DFB" w:rsidRDefault="009F762E" w:rsidP="002A0E52">
      <w:pPr>
        <w:spacing w:line="360" w:lineRule="auto"/>
        <w:jc w:val="center"/>
        <w:rPr>
          <w:rFonts w:ascii="Arial" w:hAnsi="Arial" w:cs="Arial"/>
          <w:b/>
          <w:bCs/>
          <w:color w:val="000000" w:themeColor="text1"/>
          <w:sz w:val="32"/>
          <w:szCs w:val="32"/>
        </w:rPr>
      </w:pPr>
    </w:p>
    <w:p w14:paraId="611852E0" w14:textId="77777777" w:rsidR="009F762E" w:rsidRPr="00242DFB" w:rsidRDefault="00000000" w:rsidP="002A0E52">
      <w:pPr>
        <w:spacing w:line="360" w:lineRule="auto"/>
        <w:jc w:val="center"/>
        <w:rPr>
          <w:rFonts w:ascii="Arial" w:hAnsi="Arial" w:cs="Arial"/>
          <w:b/>
          <w:bCs/>
          <w:color w:val="000000" w:themeColor="text1"/>
          <w:sz w:val="32"/>
          <w:szCs w:val="32"/>
        </w:rPr>
      </w:pPr>
      <w:r w:rsidRPr="00242DFB">
        <w:rPr>
          <w:rFonts w:ascii="Arial" w:hAnsi="Arial" w:cs="Arial"/>
          <w:b/>
          <w:color w:val="000000"/>
          <w:sz w:val="32"/>
          <w:szCs w:val="32"/>
        </w:rPr>
        <w:t>INFORME EJECUTIVO DE ANÁLISIS A LOS RESULTADOS DE LA GESTIÓN</w:t>
      </w:r>
      <w:r w:rsidRPr="00242DFB">
        <w:rPr>
          <w:rFonts w:ascii="Arial" w:hAnsi="Arial" w:cs="Arial"/>
          <w:b/>
          <w:color w:val="000000"/>
          <w:sz w:val="32"/>
          <w:szCs w:val="32"/>
        </w:rPr>
        <w:br/>
        <w:t>DE CAPITAL SALUD EPS-S.</w:t>
      </w:r>
    </w:p>
    <w:p w14:paraId="7D304C97" w14:textId="77777777" w:rsidR="009F762E" w:rsidRPr="00242DFB" w:rsidRDefault="009F762E" w:rsidP="002A0E52">
      <w:pPr>
        <w:spacing w:line="360" w:lineRule="auto"/>
        <w:jc w:val="center"/>
        <w:rPr>
          <w:rFonts w:ascii="Arial" w:hAnsi="Arial" w:cs="Arial"/>
          <w:b/>
          <w:bCs/>
          <w:color w:val="000000" w:themeColor="text1"/>
          <w:sz w:val="32"/>
          <w:szCs w:val="32"/>
        </w:rPr>
      </w:pPr>
    </w:p>
    <w:p w14:paraId="40F7284E" w14:textId="77777777" w:rsidR="009F762E" w:rsidRPr="00242DFB" w:rsidRDefault="009F762E" w:rsidP="002A0E52">
      <w:pPr>
        <w:spacing w:line="360" w:lineRule="auto"/>
        <w:jc w:val="center"/>
        <w:rPr>
          <w:rFonts w:ascii="Arial" w:hAnsi="Arial" w:cs="Arial"/>
          <w:b/>
          <w:bCs/>
          <w:color w:val="000000" w:themeColor="text1"/>
          <w:sz w:val="32"/>
          <w:szCs w:val="32"/>
        </w:rPr>
      </w:pPr>
    </w:p>
    <w:p w14:paraId="64D1FE18" w14:textId="77777777" w:rsidR="009F762E" w:rsidRPr="00242DFB" w:rsidRDefault="009F762E" w:rsidP="002A0E52">
      <w:pPr>
        <w:spacing w:line="360" w:lineRule="auto"/>
        <w:jc w:val="center"/>
        <w:rPr>
          <w:rFonts w:ascii="Arial" w:hAnsi="Arial" w:cs="Arial"/>
          <w:b/>
          <w:bCs/>
          <w:color w:val="000000" w:themeColor="text1"/>
          <w:sz w:val="32"/>
          <w:szCs w:val="32"/>
        </w:rPr>
      </w:pPr>
    </w:p>
    <w:p w14:paraId="670DBCAD" w14:textId="77777777" w:rsidR="009F762E" w:rsidRPr="00242DFB" w:rsidRDefault="009F762E" w:rsidP="002A0E52">
      <w:pPr>
        <w:spacing w:line="360" w:lineRule="auto"/>
        <w:jc w:val="center"/>
        <w:rPr>
          <w:rFonts w:ascii="Arial" w:hAnsi="Arial" w:cs="Arial"/>
          <w:b/>
          <w:bCs/>
          <w:color w:val="000000" w:themeColor="text1"/>
          <w:sz w:val="32"/>
          <w:szCs w:val="32"/>
        </w:rPr>
      </w:pPr>
    </w:p>
    <w:p w14:paraId="150C3083" w14:textId="77777777" w:rsidR="009F762E" w:rsidRPr="00242DFB" w:rsidRDefault="009F762E" w:rsidP="002A0E52">
      <w:pPr>
        <w:spacing w:line="360" w:lineRule="auto"/>
        <w:jc w:val="center"/>
        <w:rPr>
          <w:rFonts w:ascii="Arial" w:hAnsi="Arial" w:cs="Arial"/>
          <w:b/>
          <w:bCs/>
          <w:color w:val="000000" w:themeColor="text1"/>
          <w:sz w:val="32"/>
          <w:szCs w:val="32"/>
        </w:rPr>
      </w:pPr>
    </w:p>
    <w:p w14:paraId="0FADC824" w14:textId="77777777" w:rsidR="009F762E" w:rsidRPr="00242DFB" w:rsidRDefault="00000000" w:rsidP="002A0E52">
      <w:pPr>
        <w:spacing w:line="360" w:lineRule="auto"/>
        <w:jc w:val="center"/>
        <w:rPr>
          <w:rFonts w:ascii="Arial" w:hAnsi="Arial" w:cs="Arial"/>
          <w:b/>
          <w:bCs/>
          <w:color w:val="000000" w:themeColor="text1"/>
          <w:sz w:val="32"/>
          <w:szCs w:val="32"/>
        </w:rPr>
      </w:pPr>
      <w:r w:rsidRPr="00242DFB">
        <w:rPr>
          <w:rFonts w:ascii="Arial" w:hAnsi="Arial" w:cs="Arial"/>
          <w:b/>
          <w:bCs/>
          <w:color w:val="000000"/>
          <w:sz w:val="32"/>
          <w:szCs w:val="32"/>
        </w:rPr>
        <w:t>JUNIO 2026</w:t>
      </w:r>
    </w:p>
    <w:p w14:paraId="18E3C98C" w14:textId="77777777" w:rsidR="009F762E" w:rsidRPr="00242DFB" w:rsidRDefault="009F762E" w:rsidP="002A0E52">
      <w:pPr>
        <w:spacing w:line="360" w:lineRule="auto"/>
        <w:jc w:val="both"/>
        <w:rPr>
          <w:rFonts w:ascii="Arial" w:hAnsi="Arial" w:cs="Arial"/>
          <w:b/>
          <w:bCs/>
          <w:color w:val="000000" w:themeColor="text1"/>
          <w:sz w:val="32"/>
          <w:szCs w:val="32"/>
        </w:rPr>
      </w:pPr>
    </w:p>
    <w:p w14:paraId="26C3353F" w14:textId="55A513C0" w:rsidR="009F762E" w:rsidRPr="00242DFB" w:rsidRDefault="00000000" w:rsidP="002A0E52">
      <w:pPr>
        <w:pageBreakBefore/>
        <w:spacing w:line="360" w:lineRule="auto"/>
        <w:jc w:val="both"/>
        <w:rPr>
          <w:rFonts w:ascii="Arial" w:hAnsi="Arial" w:cs="Arial"/>
          <w:b/>
          <w:bCs/>
          <w:color w:val="000000" w:themeColor="text1"/>
        </w:rPr>
      </w:pPr>
      <w:r w:rsidRPr="00242DFB">
        <w:rPr>
          <w:rFonts w:ascii="Arial" w:hAnsi="Arial" w:cs="Arial"/>
          <w:b/>
          <w:bCs/>
          <w:color w:val="000000"/>
        </w:rPr>
        <w:lastRenderedPageBreak/>
        <w:t>CONTENIDO</w:t>
      </w:r>
    </w:p>
    <w:p w14:paraId="29DE86C8" w14:textId="77777777" w:rsidR="009F762E" w:rsidRPr="00242DFB" w:rsidRDefault="00000000" w:rsidP="002A0E52">
      <w:pPr>
        <w:spacing w:line="360" w:lineRule="auto"/>
        <w:rPr>
          <w:rFonts w:ascii="Arial" w:hAnsi="Arial" w:cs="Arial"/>
        </w:rPr>
      </w:pPr>
      <w:r w:rsidRPr="00242DFB">
        <w:rPr>
          <w:rFonts w:ascii="Arial" w:hAnsi="Arial" w:cs="Arial"/>
          <w:color w:val="000000"/>
        </w:rPr>
        <w:t>1. INTRODUCCIÓN ............................................................................................ 3</w:t>
      </w:r>
    </w:p>
    <w:p w14:paraId="58E578C7" w14:textId="77777777" w:rsidR="009F762E" w:rsidRPr="00242DFB" w:rsidRDefault="00000000" w:rsidP="002A0E52">
      <w:pPr>
        <w:spacing w:line="360" w:lineRule="auto"/>
        <w:rPr>
          <w:rFonts w:ascii="Arial" w:hAnsi="Arial" w:cs="Arial"/>
        </w:rPr>
      </w:pPr>
      <w:r w:rsidRPr="00242DFB">
        <w:rPr>
          <w:rFonts w:ascii="Arial" w:hAnsi="Arial" w:cs="Arial"/>
          <w:color w:val="000000"/>
        </w:rPr>
        <w:t>2. ANTECEDENTES ........................................................................................... 5</w:t>
      </w:r>
    </w:p>
    <w:p w14:paraId="76574720" w14:textId="77777777" w:rsidR="009F762E" w:rsidRPr="00242DFB" w:rsidRDefault="00000000" w:rsidP="002A0E52">
      <w:pPr>
        <w:spacing w:line="360" w:lineRule="auto"/>
        <w:rPr>
          <w:rFonts w:ascii="Arial" w:hAnsi="Arial" w:cs="Arial"/>
        </w:rPr>
      </w:pPr>
      <w:r w:rsidRPr="00242DFB">
        <w:rPr>
          <w:rFonts w:ascii="Arial" w:hAnsi="Arial" w:cs="Arial"/>
          <w:color w:val="000000"/>
        </w:rPr>
        <w:t xml:space="preserve">   2.1 Contexto del aseguramiento en Bogotá ..................................................... 6</w:t>
      </w:r>
    </w:p>
    <w:p w14:paraId="0D5098DB" w14:textId="77777777" w:rsidR="009F762E" w:rsidRPr="00242DFB" w:rsidRDefault="00000000" w:rsidP="002A0E52">
      <w:pPr>
        <w:spacing w:line="360" w:lineRule="auto"/>
        <w:rPr>
          <w:rFonts w:ascii="Arial" w:hAnsi="Arial" w:cs="Arial"/>
        </w:rPr>
      </w:pPr>
      <w:r w:rsidRPr="00242DFB">
        <w:rPr>
          <w:rFonts w:ascii="Arial" w:hAnsi="Arial" w:cs="Arial"/>
          <w:color w:val="000000"/>
        </w:rPr>
        <w:t xml:space="preserve">   2.2 Relación EPS – Ciudad ............................................................................. 12</w:t>
      </w:r>
    </w:p>
    <w:p w14:paraId="6804B158" w14:textId="77777777" w:rsidR="009F762E" w:rsidRPr="00242DFB" w:rsidRDefault="00000000" w:rsidP="002A0E52">
      <w:pPr>
        <w:spacing w:line="360" w:lineRule="auto"/>
        <w:rPr>
          <w:rFonts w:ascii="Arial" w:hAnsi="Arial" w:cs="Arial"/>
        </w:rPr>
      </w:pPr>
      <w:r w:rsidRPr="00242DFB">
        <w:rPr>
          <w:rFonts w:ascii="Arial" w:hAnsi="Arial" w:cs="Arial"/>
          <w:color w:val="000000"/>
        </w:rPr>
        <w:t>3. OBJETIVOS .................................................................................................. 15</w:t>
      </w:r>
    </w:p>
    <w:p w14:paraId="1714681E" w14:textId="77777777" w:rsidR="009F762E" w:rsidRPr="00242DFB" w:rsidRDefault="00000000" w:rsidP="002A0E52">
      <w:pPr>
        <w:spacing w:line="360" w:lineRule="auto"/>
        <w:rPr>
          <w:rFonts w:ascii="Arial" w:hAnsi="Arial" w:cs="Arial"/>
        </w:rPr>
      </w:pPr>
      <w:r w:rsidRPr="00242DFB">
        <w:rPr>
          <w:rFonts w:ascii="Arial" w:hAnsi="Arial" w:cs="Arial"/>
          <w:color w:val="000000"/>
        </w:rPr>
        <w:t xml:space="preserve">   3.1 Objetivo general ....................................................................................... 15</w:t>
      </w:r>
    </w:p>
    <w:p w14:paraId="04EB1700" w14:textId="77777777" w:rsidR="009F762E" w:rsidRPr="00242DFB" w:rsidRDefault="00000000" w:rsidP="002A0E52">
      <w:pPr>
        <w:spacing w:line="360" w:lineRule="auto"/>
        <w:rPr>
          <w:rFonts w:ascii="Arial" w:hAnsi="Arial" w:cs="Arial"/>
        </w:rPr>
      </w:pPr>
      <w:r w:rsidRPr="00242DFB">
        <w:rPr>
          <w:rFonts w:ascii="Arial" w:hAnsi="Arial" w:cs="Arial"/>
          <w:color w:val="000000"/>
        </w:rPr>
        <w:t xml:space="preserve">   3.2 Objetivos específicos ................................................................................ 16</w:t>
      </w:r>
    </w:p>
    <w:p w14:paraId="49DE1525" w14:textId="77777777" w:rsidR="009F762E" w:rsidRPr="00242DFB" w:rsidRDefault="00000000" w:rsidP="002A0E52">
      <w:pPr>
        <w:spacing w:line="360" w:lineRule="auto"/>
        <w:rPr>
          <w:rFonts w:ascii="Arial" w:hAnsi="Arial" w:cs="Arial"/>
        </w:rPr>
      </w:pPr>
      <w:r w:rsidRPr="00242DFB">
        <w:rPr>
          <w:rFonts w:ascii="Arial" w:hAnsi="Arial" w:cs="Arial"/>
          <w:color w:val="000000"/>
        </w:rPr>
        <w:t>4. RECLAMACIONES EN SALUD .................................................................... 17</w:t>
      </w:r>
    </w:p>
    <w:p w14:paraId="67DE047B" w14:textId="77777777" w:rsidR="009F762E" w:rsidRPr="00242DFB" w:rsidRDefault="00000000" w:rsidP="002A0E52">
      <w:pPr>
        <w:spacing w:line="360" w:lineRule="auto"/>
        <w:rPr>
          <w:rFonts w:ascii="Arial" w:hAnsi="Arial" w:cs="Arial"/>
        </w:rPr>
      </w:pPr>
      <w:r w:rsidRPr="00242DFB">
        <w:rPr>
          <w:rFonts w:ascii="Arial" w:hAnsi="Arial" w:cs="Arial"/>
          <w:color w:val="000000"/>
        </w:rPr>
        <w:t xml:space="preserve">   4.1 Comportamiento de las reclamaciones ..................................................... 19</w:t>
      </w:r>
    </w:p>
    <w:p w14:paraId="4B5ECCEE" w14:textId="77777777" w:rsidR="009F762E" w:rsidRPr="00242DFB" w:rsidRDefault="00000000" w:rsidP="002A0E52">
      <w:pPr>
        <w:spacing w:line="360" w:lineRule="auto"/>
        <w:rPr>
          <w:rFonts w:ascii="Arial" w:hAnsi="Arial" w:cs="Arial"/>
        </w:rPr>
      </w:pPr>
      <w:r w:rsidRPr="00242DFB">
        <w:rPr>
          <w:rFonts w:ascii="Arial" w:hAnsi="Arial" w:cs="Arial"/>
          <w:color w:val="000000"/>
        </w:rPr>
        <w:t xml:space="preserve">   4.2 Oportunidad en la respuesta a las PQRSD ............................................... 20</w:t>
      </w:r>
    </w:p>
    <w:p w14:paraId="0EE8B608" w14:textId="77777777" w:rsidR="009F762E" w:rsidRPr="00242DFB" w:rsidRDefault="00000000" w:rsidP="002A0E52">
      <w:pPr>
        <w:spacing w:line="360" w:lineRule="auto"/>
        <w:rPr>
          <w:rFonts w:ascii="Arial" w:hAnsi="Arial" w:cs="Arial"/>
        </w:rPr>
      </w:pPr>
      <w:r w:rsidRPr="00242DFB">
        <w:rPr>
          <w:rFonts w:ascii="Arial" w:hAnsi="Arial" w:cs="Arial"/>
          <w:color w:val="000000"/>
        </w:rPr>
        <w:t xml:space="preserve">   4.3 Principales barreras de acceso identificadas ............................................ 24</w:t>
      </w:r>
    </w:p>
    <w:p w14:paraId="109C1625" w14:textId="77777777" w:rsidR="009F762E" w:rsidRPr="00242DFB" w:rsidRDefault="00000000" w:rsidP="002A0E52">
      <w:pPr>
        <w:spacing w:line="360" w:lineRule="auto"/>
        <w:rPr>
          <w:rFonts w:ascii="Arial" w:hAnsi="Arial" w:cs="Arial"/>
        </w:rPr>
      </w:pPr>
      <w:r w:rsidRPr="00242DFB">
        <w:rPr>
          <w:rFonts w:ascii="Arial" w:hAnsi="Arial" w:cs="Arial"/>
          <w:color w:val="000000"/>
        </w:rPr>
        <w:t xml:space="preserve">   4.4 Gestión de PQRS de salud 2025 en Capital Salud EPS-S ........................ 26</w:t>
      </w:r>
    </w:p>
    <w:p w14:paraId="4F0A369F" w14:textId="77777777" w:rsidR="009F762E" w:rsidRPr="00242DFB" w:rsidRDefault="00000000" w:rsidP="002A0E52">
      <w:pPr>
        <w:spacing w:line="360" w:lineRule="auto"/>
        <w:rPr>
          <w:rFonts w:ascii="Arial" w:hAnsi="Arial" w:cs="Arial"/>
        </w:rPr>
      </w:pPr>
      <w:r w:rsidRPr="00242DFB">
        <w:rPr>
          <w:rFonts w:ascii="Arial" w:hAnsi="Arial" w:cs="Arial"/>
          <w:color w:val="000000"/>
        </w:rPr>
        <w:t>5. RESULTADOS EN SALUD Y GESTIÓN DEL RIESGO ................................ 27</w:t>
      </w:r>
    </w:p>
    <w:p w14:paraId="55DE5FE8" w14:textId="77777777" w:rsidR="009F762E" w:rsidRPr="00242DFB" w:rsidRDefault="00000000" w:rsidP="002A0E52">
      <w:pPr>
        <w:spacing w:line="360" w:lineRule="auto"/>
        <w:rPr>
          <w:rFonts w:ascii="Arial" w:hAnsi="Arial" w:cs="Arial"/>
        </w:rPr>
      </w:pPr>
      <w:r w:rsidRPr="00242DFB">
        <w:rPr>
          <w:rFonts w:ascii="Arial" w:hAnsi="Arial" w:cs="Arial"/>
          <w:color w:val="000000"/>
        </w:rPr>
        <w:t xml:space="preserve">   5.1 Mortalidad materna ................................................................................... 27</w:t>
      </w:r>
    </w:p>
    <w:p w14:paraId="4F122192" w14:textId="77777777" w:rsidR="009F762E" w:rsidRPr="00242DFB" w:rsidRDefault="00000000" w:rsidP="002A0E52">
      <w:pPr>
        <w:spacing w:line="360" w:lineRule="auto"/>
        <w:rPr>
          <w:rFonts w:ascii="Arial" w:hAnsi="Arial" w:cs="Arial"/>
        </w:rPr>
      </w:pPr>
      <w:r w:rsidRPr="00242DFB">
        <w:rPr>
          <w:rFonts w:ascii="Arial" w:hAnsi="Arial" w:cs="Arial"/>
          <w:color w:val="000000"/>
        </w:rPr>
        <w:t xml:space="preserve">   5.2 Mortalidad infantil ..................................................................................... 29</w:t>
      </w:r>
    </w:p>
    <w:p w14:paraId="059EB329" w14:textId="77777777" w:rsidR="009F762E" w:rsidRPr="00242DFB" w:rsidRDefault="00000000" w:rsidP="002A0E52">
      <w:pPr>
        <w:spacing w:line="360" w:lineRule="auto"/>
        <w:rPr>
          <w:rFonts w:ascii="Arial" w:hAnsi="Arial" w:cs="Arial"/>
        </w:rPr>
      </w:pPr>
      <w:r w:rsidRPr="00242DFB">
        <w:rPr>
          <w:rFonts w:ascii="Arial" w:hAnsi="Arial" w:cs="Arial"/>
          <w:color w:val="000000"/>
        </w:rPr>
        <w:t xml:space="preserve">   5.3 Coberturas de vacunación ......................................................................... 32</w:t>
      </w:r>
    </w:p>
    <w:p w14:paraId="344BEC8F" w14:textId="77777777" w:rsidR="009F762E" w:rsidRPr="00242DFB" w:rsidRDefault="00000000" w:rsidP="002A0E52">
      <w:pPr>
        <w:spacing w:line="360" w:lineRule="auto"/>
        <w:rPr>
          <w:rFonts w:ascii="Arial" w:hAnsi="Arial" w:cs="Arial"/>
        </w:rPr>
      </w:pPr>
      <w:r w:rsidRPr="00242DFB">
        <w:rPr>
          <w:rFonts w:ascii="Arial" w:hAnsi="Arial" w:cs="Arial"/>
          <w:color w:val="000000"/>
        </w:rPr>
        <w:t>6. RED PRESTADORA Y CAPACIDAD INSTALADA ...................................... 35</w:t>
      </w:r>
    </w:p>
    <w:p w14:paraId="5FBEFA6C" w14:textId="77777777" w:rsidR="009F762E" w:rsidRPr="00242DFB" w:rsidRDefault="00000000" w:rsidP="002A0E52">
      <w:pPr>
        <w:spacing w:line="360" w:lineRule="auto"/>
        <w:rPr>
          <w:rFonts w:ascii="Arial" w:hAnsi="Arial" w:cs="Arial"/>
        </w:rPr>
      </w:pPr>
      <w:r w:rsidRPr="00242DFB">
        <w:rPr>
          <w:rFonts w:ascii="Arial" w:hAnsi="Arial" w:cs="Arial"/>
          <w:color w:val="000000"/>
        </w:rPr>
        <w:t xml:space="preserve">   6.1 Análisis GAMA y red prestadora ............................................................... 35</w:t>
      </w:r>
    </w:p>
    <w:p w14:paraId="3C99DE39" w14:textId="77777777" w:rsidR="009F762E" w:rsidRPr="00242DFB" w:rsidRDefault="00000000" w:rsidP="002A0E52">
      <w:pPr>
        <w:spacing w:line="360" w:lineRule="auto"/>
        <w:rPr>
          <w:rFonts w:ascii="Arial" w:hAnsi="Arial" w:cs="Arial"/>
        </w:rPr>
      </w:pPr>
      <w:r w:rsidRPr="00242DFB">
        <w:rPr>
          <w:rFonts w:ascii="Arial" w:hAnsi="Arial" w:cs="Arial"/>
          <w:color w:val="000000"/>
        </w:rPr>
        <w:t xml:space="preserve">   6.2 Oportunidad en la asignación de citas médicas ......................................... 38</w:t>
      </w:r>
    </w:p>
    <w:p w14:paraId="75EEF424" w14:textId="77777777" w:rsidR="009F762E" w:rsidRPr="00242DFB" w:rsidRDefault="00000000" w:rsidP="002A0E52">
      <w:pPr>
        <w:spacing w:line="360" w:lineRule="auto"/>
        <w:rPr>
          <w:rFonts w:ascii="Arial" w:hAnsi="Arial" w:cs="Arial"/>
        </w:rPr>
      </w:pPr>
      <w:r w:rsidRPr="00242DFB">
        <w:rPr>
          <w:rFonts w:ascii="Arial" w:hAnsi="Arial" w:cs="Arial"/>
          <w:b/>
          <w:color w:val="000000"/>
        </w:rPr>
        <w:t>7. MEDICAMENTOS .......................................................................................... 39</w:t>
      </w:r>
    </w:p>
    <w:p w14:paraId="6B18F533" w14:textId="77777777" w:rsidR="009F762E" w:rsidRPr="00242DFB" w:rsidRDefault="00000000" w:rsidP="002A0E52">
      <w:pPr>
        <w:spacing w:line="360" w:lineRule="auto"/>
        <w:rPr>
          <w:rFonts w:ascii="Arial" w:hAnsi="Arial" w:cs="Arial"/>
        </w:rPr>
      </w:pPr>
      <w:r w:rsidRPr="00242DFB">
        <w:rPr>
          <w:rFonts w:ascii="Arial" w:hAnsi="Arial" w:cs="Arial"/>
          <w:color w:val="000000"/>
        </w:rPr>
        <w:t xml:space="preserve">   7.1 Análisis del servicio farmacéutico ............................................................. 40</w:t>
      </w:r>
    </w:p>
    <w:p w14:paraId="37838390" w14:textId="77777777" w:rsidR="009F762E" w:rsidRPr="00242DFB" w:rsidRDefault="00000000" w:rsidP="002A0E52">
      <w:pPr>
        <w:spacing w:line="360" w:lineRule="auto"/>
        <w:rPr>
          <w:rFonts w:ascii="Arial" w:hAnsi="Arial" w:cs="Arial"/>
        </w:rPr>
      </w:pPr>
      <w:r w:rsidRPr="00242DFB">
        <w:rPr>
          <w:rFonts w:ascii="Arial" w:hAnsi="Arial" w:cs="Arial"/>
          <w:color w:val="000000"/>
        </w:rPr>
        <w:t>8. ANÁLISIS FINANCIERO ............................................................................... 61</w:t>
      </w:r>
    </w:p>
    <w:p w14:paraId="4B5B03A7" w14:textId="77777777" w:rsidR="009F762E" w:rsidRPr="00242DFB" w:rsidRDefault="00000000" w:rsidP="002A0E52">
      <w:pPr>
        <w:spacing w:line="360" w:lineRule="auto"/>
        <w:rPr>
          <w:rFonts w:ascii="Arial" w:hAnsi="Arial" w:cs="Arial"/>
        </w:rPr>
      </w:pPr>
      <w:r w:rsidRPr="00242DFB">
        <w:rPr>
          <w:rFonts w:ascii="Arial" w:hAnsi="Arial" w:cs="Arial"/>
          <w:color w:val="000000"/>
        </w:rPr>
        <w:t xml:space="preserve">   8.1 Estado de situación financiera .................................................................... 61</w:t>
      </w:r>
    </w:p>
    <w:p w14:paraId="7DA7FD6C" w14:textId="77777777" w:rsidR="009F762E" w:rsidRPr="00242DFB" w:rsidRDefault="00000000" w:rsidP="002A0E52">
      <w:pPr>
        <w:spacing w:line="360" w:lineRule="auto"/>
        <w:rPr>
          <w:rFonts w:ascii="Arial" w:hAnsi="Arial" w:cs="Arial"/>
        </w:rPr>
      </w:pPr>
      <w:r w:rsidRPr="00242DFB">
        <w:rPr>
          <w:rFonts w:ascii="Arial" w:hAnsi="Arial" w:cs="Arial"/>
          <w:color w:val="000000"/>
        </w:rPr>
        <w:t xml:space="preserve">   8.2 Reservas técnicas y cuentas por pagar ...................................................... 64</w:t>
      </w:r>
    </w:p>
    <w:p w14:paraId="30B21DAF" w14:textId="77777777" w:rsidR="009F762E" w:rsidRPr="00242DFB" w:rsidRDefault="00000000" w:rsidP="002A0E52">
      <w:pPr>
        <w:spacing w:line="360" w:lineRule="auto"/>
        <w:rPr>
          <w:rFonts w:ascii="Arial" w:hAnsi="Arial" w:cs="Arial"/>
        </w:rPr>
      </w:pPr>
      <w:r w:rsidRPr="00242DFB">
        <w:rPr>
          <w:rFonts w:ascii="Arial" w:hAnsi="Arial" w:cs="Arial"/>
          <w:color w:val="000000"/>
        </w:rPr>
        <w:t xml:space="preserve">   8.3 Indicador de siniestralidad ......................................................................... 66</w:t>
      </w:r>
    </w:p>
    <w:p w14:paraId="3C298962" w14:textId="77777777" w:rsidR="009F762E" w:rsidRPr="00242DFB" w:rsidRDefault="00000000" w:rsidP="002A0E52">
      <w:pPr>
        <w:spacing w:line="360" w:lineRule="auto"/>
        <w:rPr>
          <w:rFonts w:ascii="Arial" w:hAnsi="Arial" w:cs="Arial"/>
        </w:rPr>
      </w:pPr>
      <w:r w:rsidRPr="00242DFB">
        <w:rPr>
          <w:rFonts w:ascii="Arial" w:hAnsi="Arial" w:cs="Arial"/>
          <w:color w:val="000000"/>
        </w:rPr>
        <w:t xml:space="preserve">   8.4 Indicador de endeudamiento ...................................................................... 68</w:t>
      </w:r>
    </w:p>
    <w:p w14:paraId="20884108" w14:textId="77777777" w:rsidR="009F762E" w:rsidRPr="00242DFB" w:rsidRDefault="00000000" w:rsidP="002A0E52">
      <w:pPr>
        <w:spacing w:line="360" w:lineRule="auto"/>
        <w:rPr>
          <w:rFonts w:ascii="Arial" w:hAnsi="Arial" w:cs="Arial"/>
        </w:rPr>
      </w:pPr>
      <w:r w:rsidRPr="00242DFB">
        <w:rPr>
          <w:rFonts w:ascii="Arial" w:hAnsi="Arial" w:cs="Arial"/>
          <w:color w:val="000000"/>
        </w:rPr>
        <w:t>9. CONCLUSIONES .......................................................................................... 69</w:t>
      </w:r>
    </w:p>
    <w:p w14:paraId="26338DE0" w14:textId="77777777" w:rsidR="009F762E" w:rsidRPr="00242DFB" w:rsidRDefault="00000000" w:rsidP="002A0E52">
      <w:pPr>
        <w:spacing w:line="360" w:lineRule="auto"/>
        <w:rPr>
          <w:rFonts w:ascii="Arial" w:hAnsi="Arial" w:cs="Arial"/>
        </w:rPr>
      </w:pPr>
      <w:r w:rsidRPr="00242DFB">
        <w:rPr>
          <w:rFonts w:ascii="Arial" w:hAnsi="Arial" w:cs="Arial"/>
          <w:color w:val="000000"/>
        </w:rPr>
        <w:t>10. GLOSARIO DE TÉRMINOS ........................................................................ 71</w:t>
      </w:r>
    </w:p>
    <w:p w14:paraId="22D6862B" w14:textId="77777777" w:rsidR="009F762E" w:rsidRPr="00242DFB" w:rsidRDefault="00000000" w:rsidP="002A0E52">
      <w:pPr>
        <w:spacing w:line="360" w:lineRule="auto"/>
        <w:rPr>
          <w:rFonts w:ascii="Arial" w:hAnsi="Arial" w:cs="Arial"/>
        </w:rPr>
      </w:pPr>
      <w:r w:rsidRPr="00242DFB">
        <w:rPr>
          <w:rFonts w:ascii="Arial" w:hAnsi="Arial" w:cs="Arial"/>
          <w:color w:val="000000"/>
        </w:rPr>
        <w:t>11. BIBLIOGRAFÍA ........................................................................................... 74</w:t>
      </w:r>
    </w:p>
    <w:p w14:paraId="1AE5F784" w14:textId="77777777" w:rsidR="009F762E" w:rsidRPr="00242DFB" w:rsidRDefault="009F762E" w:rsidP="002A0E52">
      <w:pPr>
        <w:spacing w:line="360" w:lineRule="auto"/>
        <w:rPr>
          <w:rFonts w:ascii="Arial" w:hAnsi="Arial" w:cs="Arial"/>
        </w:rPr>
      </w:pPr>
    </w:p>
    <w:p w14:paraId="035538E8" w14:textId="77777777" w:rsidR="009F762E" w:rsidRPr="00242DFB" w:rsidRDefault="00000000" w:rsidP="002A0E52">
      <w:pPr>
        <w:spacing w:line="360" w:lineRule="auto"/>
        <w:rPr>
          <w:rFonts w:ascii="Arial" w:hAnsi="Arial" w:cs="Arial"/>
        </w:rPr>
      </w:pPr>
      <w:r w:rsidRPr="00242DFB">
        <w:rPr>
          <w:rFonts w:ascii="Arial" w:hAnsi="Arial" w:cs="Arial"/>
          <w:b/>
          <w:color w:val="000000"/>
        </w:rPr>
        <w:lastRenderedPageBreak/>
        <w:t>ÍNDICE DE TABLAS</w:t>
      </w:r>
    </w:p>
    <w:p w14:paraId="7774C75D" w14:textId="77777777" w:rsidR="009F762E" w:rsidRPr="00242DFB" w:rsidRDefault="00000000" w:rsidP="002A0E52">
      <w:pPr>
        <w:spacing w:line="360" w:lineRule="auto"/>
        <w:rPr>
          <w:rFonts w:ascii="Arial" w:hAnsi="Arial" w:cs="Arial"/>
        </w:rPr>
      </w:pPr>
      <w:r w:rsidRPr="00242DFB">
        <w:rPr>
          <w:rFonts w:ascii="Arial" w:hAnsi="Arial" w:cs="Arial"/>
          <w:color w:val="000000"/>
        </w:rPr>
        <w:t>Tabla 1. Afiliados por régimen, 2025 ................................................................. 7</w:t>
      </w:r>
    </w:p>
    <w:p w14:paraId="561125A2" w14:textId="77777777" w:rsidR="009F762E" w:rsidRPr="00242DFB" w:rsidRDefault="00000000" w:rsidP="002A0E52">
      <w:pPr>
        <w:spacing w:line="360" w:lineRule="auto"/>
        <w:rPr>
          <w:rFonts w:ascii="Arial" w:hAnsi="Arial" w:cs="Arial"/>
        </w:rPr>
      </w:pPr>
      <w:r w:rsidRPr="00242DFB">
        <w:rPr>
          <w:rFonts w:ascii="Arial" w:hAnsi="Arial" w:cs="Arial"/>
          <w:color w:val="000000"/>
        </w:rPr>
        <w:t>Tabla 2. Afiliados en Bogotá por EPS, 2025 ..................................................... 7</w:t>
      </w:r>
    </w:p>
    <w:p w14:paraId="6ADDA984" w14:textId="77777777" w:rsidR="009F762E" w:rsidRPr="00242DFB" w:rsidRDefault="00000000" w:rsidP="002A0E52">
      <w:pPr>
        <w:spacing w:line="360" w:lineRule="auto"/>
        <w:rPr>
          <w:rFonts w:ascii="Arial" w:hAnsi="Arial" w:cs="Arial"/>
        </w:rPr>
      </w:pPr>
      <w:r w:rsidRPr="00242DFB">
        <w:rPr>
          <w:rFonts w:ascii="Arial" w:hAnsi="Arial" w:cs="Arial"/>
          <w:color w:val="000000"/>
        </w:rPr>
        <w:t>Tabla 3. Evolución afiliación 2021-2025 ............................................................ 9</w:t>
      </w:r>
    </w:p>
    <w:p w14:paraId="54BD1BD9" w14:textId="77777777" w:rsidR="009F762E" w:rsidRPr="00242DFB" w:rsidRDefault="00000000" w:rsidP="002A0E52">
      <w:pPr>
        <w:spacing w:line="360" w:lineRule="auto"/>
        <w:rPr>
          <w:rFonts w:ascii="Arial" w:hAnsi="Arial" w:cs="Arial"/>
        </w:rPr>
      </w:pPr>
      <w:r w:rsidRPr="00242DFB">
        <w:rPr>
          <w:rFonts w:ascii="Arial" w:hAnsi="Arial" w:cs="Arial"/>
          <w:color w:val="000000"/>
        </w:rPr>
        <w:t>Tabla 4. Soacha por régimen 2021-2025 .......................................................... 12</w:t>
      </w:r>
    </w:p>
    <w:p w14:paraId="75E22713" w14:textId="77777777" w:rsidR="009F762E" w:rsidRPr="00242DFB" w:rsidRDefault="00000000" w:rsidP="002A0E52">
      <w:pPr>
        <w:spacing w:line="360" w:lineRule="auto"/>
        <w:rPr>
          <w:rFonts w:ascii="Arial" w:hAnsi="Arial" w:cs="Arial"/>
        </w:rPr>
      </w:pPr>
      <w:r w:rsidRPr="00242DFB">
        <w:rPr>
          <w:rFonts w:ascii="Arial" w:hAnsi="Arial" w:cs="Arial"/>
          <w:color w:val="000000"/>
        </w:rPr>
        <w:t>Tabla 5. Entidad territorial y participación ......................................................... 13</w:t>
      </w:r>
    </w:p>
    <w:p w14:paraId="0001FC8B" w14:textId="77777777" w:rsidR="009F762E" w:rsidRPr="00242DFB" w:rsidRDefault="00000000" w:rsidP="002A0E52">
      <w:pPr>
        <w:spacing w:line="360" w:lineRule="auto"/>
        <w:rPr>
          <w:rFonts w:ascii="Arial" w:hAnsi="Arial" w:cs="Arial"/>
        </w:rPr>
      </w:pPr>
      <w:r w:rsidRPr="00242DFB">
        <w:rPr>
          <w:rFonts w:ascii="Arial" w:hAnsi="Arial" w:cs="Arial"/>
          <w:color w:val="000000"/>
        </w:rPr>
        <w:t>Tabla 6. Cruce Sisbén Bogotá ........................................................................... 15</w:t>
      </w:r>
    </w:p>
    <w:p w14:paraId="6741FEB1" w14:textId="77777777" w:rsidR="009F762E" w:rsidRPr="00242DFB" w:rsidRDefault="00000000" w:rsidP="002A0E52">
      <w:pPr>
        <w:spacing w:line="360" w:lineRule="auto"/>
        <w:rPr>
          <w:rFonts w:ascii="Arial" w:hAnsi="Arial" w:cs="Arial"/>
        </w:rPr>
      </w:pPr>
      <w:r w:rsidRPr="00242DFB">
        <w:rPr>
          <w:rFonts w:ascii="Arial" w:hAnsi="Arial" w:cs="Arial"/>
          <w:color w:val="000000"/>
        </w:rPr>
        <w:t>Tabla 7. Incumplimiento respuesta PQRS ......................................................... 21</w:t>
      </w:r>
    </w:p>
    <w:p w14:paraId="69D4ADDB" w14:textId="77777777" w:rsidR="009F762E" w:rsidRPr="00242DFB" w:rsidRDefault="00000000" w:rsidP="002A0E52">
      <w:pPr>
        <w:spacing w:line="360" w:lineRule="auto"/>
        <w:rPr>
          <w:rFonts w:ascii="Arial" w:hAnsi="Arial" w:cs="Arial"/>
        </w:rPr>
      </w:pPr>
      <w:r w:rsidRPr="00242DFB">
        <w:rPr>
          <w:rFonts w:ascii="Arial" w:hAnsi="Arial" w:cs="Arial"/>
          <w:color w:val="000000"/>
        </w:rPr>
        <w:t>Tabla 8. Principales motivos de manifestaciones .............................................. 25</w:t>
      </w:r>
    </w:p>
    <w:p w14:paraId="1F1EA54B" w14:textId="77777777" w:rsidR="009F762E" w:rsidRPr="00242DFB" w:rsidRDefault="00000000" w:rsidP="002A0E52">
      <w:pPr>
        <w:spacing w:line="360" w:lineRule="auto"/>
        <w:rPr>
          <w:rFonts w:ascii="Arial" w:hAnsi="Arial" w:cs="Arial"/>
        </w:rPr>
      </w:pPr>
      <w:r w:rsidRPr="00242DFB">
        <w:rPr>
          <w:rFonts w:ascii="Arial" w:hAnsi="Arial" w:cs="Arial"/>
          <w:color w:val="000000"/>
        </w:rPr>
        <w:t>Tabla 9. Total PQRS 2025 ................................................................................. 27</w:t>
      </w:r>
    </w:p>
    <w:p w14:paraId="75B7F5F3" w14:textId="77777777" w:rsidR="009F762E" w:rsidRPr="00242DFB" w:rsidRDefault="00000000" w:rsidP="002A0E52">
      <w:pPr>
        <w:spacing w:line="360" w:lineRule="auto"/>
        <w:rPr>
          <w:rFonts w:ascii="Arial" w:hAnsi="Arial" w:cs="Arial"/>
        </w:rPr>
      </w:pPr>
      <w:r w:rsidRPr="00242DFB">
        <w:rPr>
          <w:rFonts w:ascii="Arial" w:hAnsi="Arial" w:cs="Arial"/>
          <w:color w:val="000000"/>
        </w:rPr>
        <w:t>Tabla 10. Mortalidad infantil por localidad ........................................................ 29</w:t>
      </w:r>
    </w:p>
    <w:p w14:paraId="2D6364F6" w14:textId="77777777" w:rsidR="009F762E" w:rsidRPr="00242DFB" w:rsidRDefault="00000000" w:rsidP="002A0E52">
      <w:pPr>
        <w:spacing w:line="360" w:lineRule="auto"/>
        <w:rPr>
          <w:rFonts w:ascii="Arial" w:hAnsi="Arial" w:cs="Arial"/>
        </w:rPr>
      </w:pPr>
      <w:r w:rsidRPr="00242DFB">
        <w:rPr>
          <w:rFonts w:ascii="Arial" w:hAnsi="Arial" w:cs="Arial"/>
          <w:color w:val="000000"/>
        </w:rPr>
        <w:t>Tabla 11. Causas de mortalidad infantil ............................................................ 30</w:t>
      </w:r>
    </w:p>
    <w:p w14:paraId="59250A9B" w14:textId="77777777" w:rsidR="009F762E" w:rsidRPr="00242DFB" w:rsidRDefault="00000000" w:rsidP="002A0E52">
      <w:pPr>
        <w:spacing w:line="360" w:lineRule="auto"/>
        <w:rPr>
          <w:rFonts w:ascii="Arial" w:hAnsi="Arial" w:cs="Arial"/>
        </w:rPr>
      </w:pPr>
      <w:r w:rsidRPr="00242DFB">
        <w:rPr>
          <w:rFonts w:ascii="Arial" w:hAnsi="Arial" w:cs="Arial"/>
          <w:color w:val="000000"/>
        </w:rPr>
        <w:t>Tabla 12. Coberturas vacunación trazadora ...................................................... 32</w:t>
      </w:r>
    </w:p>
    <w:p w14:paraId="7D14C2F5" w14:textId="77777777" w:rsidR="009F762E" w:rsidRPr="00242DFB" w:rsidRDefault="00000000" w:rsidP="002A0E52">
      <w:pPr>
        <w:spacing w:line="360" w:lineRule="auto"/>
        <w:rPr>
          <w:rFonts w:ascii="Arial" w:hAnsi="Arial" w:cs="Arial"/>
        </w:rPr>
      </w:pPr>
      <w:r w:rsidRPr="00242DFB">
        <w:rPr>
          <w:rFonts w:ascii="Arial" w:hAnsi="Arial" w:cs="Arial"/>
          <w:color w:val="000000"/>
        </w:rPr>
        <w:t>Tabla 13. Casos GAMA por asegurador ............................................................ 35</w:t>
      </w:r>
    </w:p>
    <w:p w14:paraId="20882B5D" w14:textId="77777777" w:rsidR="009F762E" w:rsidRPr="00242DFB" w:rsidRDefault="00000000" w:rsidP="002A0E52">
      <w:pPr>
        <w:spacing w:line="360" w:lineRule="auto"/>
        <w:rPr>
          <w:rFonts w:ascii="Arial" w:hAnsi="Arial" w:cs="Arial"/>
        </w:rPr>
      </w:pPr>
      <w:r w:rsidRPr="00242DFB">
        <w:rPr>
          <w:rFonts w:ascii="Arial" w:hAnsi="Arial" w:cs="Arial"/>
          <w:color w:val="000000"/>
        </w:rPr>
        <w:t>Tabla 14. Red contratada con inoportunidad ..................................................... 36</w:t>
      </w:r>
    </w:p>
    <w:p w14:paraId="22F45A17" w14:textId="77777777" w:rsidR="009F762E" w:rsidRPr="00242DFB" w:rsidRDefault="00000000" w:rsidP="002A0E52">
      <w:pPr>
        <w:spacing w:line="360" w:lineRule="auto"/>
        <w:rPr>
          <w:rFonts w:ascii="Arial" w:hAnsi="Arial" w:cs="Arial"/>
        </w:rPr>
      </w:pPr>
      <w:r w:rsidRPr="00242DFB">
        <w:rPr>
          <w:rFonts w:ascii="Arial" w:hAnsi="Arial" w:cs="Arial"/>
          <w:color w:val="000000"/>
        </w:rPr>
        <w:t>Tabla 15. Red no contratada con inoportunidad ................................................ 37</w:t>
      </w:r>
    </w:p>
    <w:p w14:paraId="1330ECE4" w14:textId="77777777" w:rsidR="009F762E" w:rsidRPr="00242DFB" w:rsidRDefault="00000000" w:rsidP="002A0E52">
      <w:pPr>
        <w:spacing w:line="360" w:lineRule="auto"/>
        <w:rPr>
          <w:rFonts w:ascii="Arial" w:hAnsi="Arial" w:cs="Arial"/>
        </w:rPr>
      </w:pPr>
      <w:r w:rsidRPr="00242DFB">
        <w:rPr>
          <w:rFonts w:ascii="Arial" w:hAnsi="Arial" w:cs="Arial"/>
          <w:color w:val="000000"/>
        </w:rPr>
        <w:t>Tabla 16. Puntos de dispensación por localidad ............................................... 41</w:t>
      </w:r>
    </w:p>
    <w:p w14:paraId="56FC93B6" w14:textId="77777777" w:rsidR="009F762E" w:rsidRPr="00242DFB" w:rsidRDefault="00000000" w:rsidP="002A0E52">
      <w:pPr>
        <w:spacing w:line="360" w:lineRule="auto"/>
        <w:rPr>
          <w:rFonts w:ascii="Arial" w:hAnsi="Arial" w:cs="Arial"/>
        </w:rPr>
      </w:pPr>
      <w:r w:rsidRPr="00242DFB">
        <w:rPr>
          <w:rFonts w:ascii="Arial" w:hAnsi="Arial" w:cs="Arial"/>
          <w:color w:val="000000"/>
        </w:rPr>
        <w:t>Tabla 17. Medicamentos solicitados por cohorte .............................................. 48</w:t>
      </w:r>
    </w:p>
    <w:p w14:paraId="32BB7F64" w14:textId="77777777" w:rsidR="009F762E" w:rsidRPr="00242DFB" w:rsidRDefault="00000000" w:rsidP="002A0E52">
      <w:pPr>
        <w:spacing w:line="360" w:lineRule="auto"/>
        <w:rPr>
          <w:rFonts w:ascii="Arial" w:hAnsi="Arial" w:cs="Arial"/>
        </w:rPr>
      </w:pPr>
      <w:r w:rsidRPr="00242DFB">
        <w:rPr>
          <w:rFonts w:ascii="Arial" w:hAnsi="Arial" w:cs="Arial"/>
          <w:color w:val="000000"/>
        </w:rPr>
        <w:t>Tabla 18. Medicamentos pendientes por cohorte .............................................. 50</w:t>
      </w:r>
    </w:p>
    <w:p w14:paraId="5E12E3BC" w14:textId="77777777" w:rsidR="009F762E" w:rsidRPr="00242DFB" w:rsidRDefault="00000000" w:rsidP="002A0E52">
      <w:pPr>
        <w:spacing w:line="360" w:lineRule="auto"/>
        <w:rPr>
          <w:rFonts w:ascii="Arial" w:hAnsi="Arial" w:cs="Arial"/>
        </w:rPr>
      </w:pPr>
      <w:r w:rsidRPr="00242DFB">
        <w:rPr>
          <w:rFonts w:ascii="Arial" w:hAnsi="Arial" w:cs="Arial"/>
          <w:color w:val="000000"/>
        </w:rPr>
        <w:t>Tabla 19. Pendientes sin entrega efectiva ......................................................... 52</w:t>
      </w:r>
    </w:p>
    <w:p w14:paraId="15B79D48" w14:textId="77777777" w:rsidR="009F762E" w:rsidRPr="00242DFB" w:rsidRDefault="00000000" w:rsidP="002A0E52">
      <w:pPr>
        <w:spacing w:line="360" w:lineRule="auto"/>
        <w:rPr>
          <w:rFonts w:ascii="Arial" w:hAnsi="Arial" w:cs="Arial"/>
        </w:rPr>
      </w:pPr>
      <w:r w:rsidRPr="00242DFB">
        <w:rPr>
          <w:rFonts w:ascii="Arial" w:hAnsi="Arial" w:cs="Arial"/>
          <w:color w:val="000000"/>
        </w:rPr>
        <w:t>Tabla 20. % pendientes sin entrega efectiva ...................................................... 54</w:t>
      </w:r>
    </w:p>
    <w:p w14:paraId="4019A1E8" w14:textId="77777777" w:rsidR="009F762E" w:rsidRPr="00242DFB" w:rsidRDefault="00000000" w:rsidP="002A0E52">
      <w:pPr>
        <w:spacing w:line="360" w:lineRule="auto"/>
        <w:rPr>
          <w:rFonts w:ascii="Arial" w:hAnsi="Arial" w:cs="Arial"/>
        </w:rPr>
      </w:pPr>
      <w:r w:rsidRPr="00242DFB">
        <w:rPr>
          <w:rFonts w:ascii="Arial" w:hAnsi="Arial" w:cs="Arial"/>
          <w:color w:val="000000"/>
        </w:rPr>
        <w:t>Tabla 21. Resumen dispensación cohortes ....................................................... 56</w:t>
      </w:r>
    </w:p>
    <w:p w14:paraId="32651773" w14:textId="77777777" w:rsidR="009F762E" w:rsidRPr="00242DFB" w:rsidRDefault="00000000" w:rsidP="002A0E52">
      <w:pPr>
        <w:spacing w:line="360" w:lineRule="auto"/>
        <w:rPr>
          <w:rFonts w:ascii="Arial" w:hAnsi="Arial" w:cs="Arial"/>
        </w:rPr>
      </w:pPr>
      <w:r w:rsidRPr="00242DFB">
        <w:rPr>
          <w:rFonts w:ascii="Arial" w:hAnsi="Arial" w:cs="Arial"/>
          <w:color w:val="000000"/>
        </w:rPr>
        <w:t>Tabla 22. Indicadores de dispensación .............................................................. 58</w:t>
      </w:r>
    </w:p>
    <w:p w14:paraId="6B416C45" w14:textId="77777777" w:rsidR="009F762E" w:rsidRPr="00242DFB" w:rsidRDefault="00000000" w:rsidP="002A0E52">
      <w:pPr>
        <w:spacing w:line="360" w:lineRule="auto"/>
        <w:rPr>
          <w:rFonts w:ascii="Arial" w:hAnsi="Arial" w:cs="Arial"/>
        </w:rPr>
      </w:pPr>
      <w:r w:rsidRPr="00242DFB">
        <w:rPr>
          <w:rFonts w:ascii="Arial" w:hAnsi="Arial" w:cs="Arial"/>
          <w:color w:val="000000"/>
        </w:rPr>
        <w:t>Tabla 23. Estado de situación financiera ........................................................... 61</w:t>
      </w:r>
    </w:p>
    <w:p w14:paraId="47E37692" w14:textId="77777777" w:rsidR="009F762E" w:rsidRPr="00242DFB" w:rsidRDefault="00000000" w:rsidP="002A0E52">
      <w:pPr>
        <w:spacing w:line="360" w:lineRule="auto"/>
        <w:rPr>
          <w:rFonts w:ascii="Arial" w:hAnsi="Arial" w:cs="Arial"/>
        </w:rPr>
      </w:pPr>
      <w:r w:rsidRPr="00242DFB">
        <w:rPr>
          <w:rFonts w:ascii="Arial" w:hAnsi="Arial" w:cs="Arial"/>
          <w:color w:val="000000"/>
        </w:rPr>
        <w:t>Tabla 24. Patrimonio enero-diciembre 2025 ...................................................... 63</w:t>
      </w:r>
    </w:p>
    <w:p w14:paraId="7C48A144" w14:textId="77777777" w:rsidR="009F762E" w:rsidRPr="00242DFB" w:rsidRDefault="009F762E" w:rsidP="002A0E52">
      <w:pPr>
        <w:spacing w:line="360" w:lineRule="auto"/>
        <w:rPr>
          <w:rFonts w:ascii="Arial" w:hAnsi="Arial" w:cs="Arial"/>
        </w:rPr>
      </w:pPr>
    </w:p>
    <w:p w14:paraId="095FB2EE" w14:textId="77777777" w:rsidR="009F762E" w:rsidRPr="00242DFB" w:rsidRDefault="00000000" w:rsidP="002A0E52">
      <w:pPr>
        <w:spacing w:line="360" w:lineRule="auto"/>
        <w:rPr>
          <w:rFonts w:ascii="Arial" w:hAnsi="Arial" w:cs="Arial"/>
        </w:rPr>
      </w:pPr>
      <w:r w:rsidRPr="00242DFB">
        <w:rPr>
          <w:rFonts w:ascii="Arial" w:hAnsi="Arial" w:cs="Arial"/>
          <w:b/>
          <w:color w:val="000000"/>
        </w:rPr>
        <w:t>ÍNDICE DE GRÁFICAS</w:t>
      </w:r>
    </w:p>
    <w:p w14:paraId="37600670" w14:textId="77777777" w:rsidR="009F762E" w:rsidRPr="00242DFB" w:rsidRDefault="00000000" w:rsidP="002A0E52">
      <w:pPr>
        <w:spacing w:line="360" w:lineRule="auto"/>
        <w:rPr>
          <w:rFonts w:ascii="Arial" w:hAnsi="Arial" w:cs="Arial"/>
        </w:rPr>
      </w:pPr>
      <w:r w:rsidRPr="00242DFB">
        <w:rPr>
          <w:rFonts w:ascii="Arial" w:hAnsi="Arial" w:cs="Arial"/>
          <w:color w:val="000000"/>
        </w:rPr>
        <w:t>Gráfica 1. Tendencia afiliados por régimen ...................................................... 10</w:t>
      </w:r>
    </w:p>
    <w:p w14:paraId="79E3D671" w14:textId="77777777" w:rsidR="009F762E" w:rsidRPr="00242DFB" w:rsidRDefault="00000000" w:rsidP="002A0E52">
      <w:pPr>
        <w:spacing w:line="360" w:lineRule="auto"/>
        <w:rPr>
          <w:rFonts w:ascii="Arial" w:hAnsi="Arial" w:cs="Arial"/>
        </w:rPr>
      </w:pPr>
      <w:r w:rsidRPr="00242DFB">
        <w:rPr>
          <w:rFonts w:ascii="Arial" w:hAnsi="Arial" w:cs="Arial"/>
          <w:color w:val="000000"/>
        </w:rPr>
        <w:t>Gráfica 2. Distribución edad, sexo y régimen ................................................... 10</w:t>
      </w:r>
    </w:p>
    <w:p w14:paraId="34A6B280" w14:textId="77777777" w:rsidR="009F762E" w:rsidRPr="00242DFB" w:rsidRDefault="00000000" w:rsidP="002A0E52">
      <w:pPr>
        <w:spacing w:line="360" w:lineRule="auto"/>
        <w:rPr>
          <w:rFonts w:ascii="Arial" w:hAnsi="Arial" w:cs="Arial"/>
        </w:rPr>
      </w:pPr>
      <w:r w:rsidRPr="00242DFB">
        <w:rPr>
          <w:rFonts w:ascii="Arial" w:hAnsi="Arial" w:cs="Arial"/>
          <w:color w:val="000000"/>
        </w:rPr>
        <w:t>Gráfica 3. Tasa de reclamos acumulados ......................................................... 18</w:t>
      </w:r>
    </w:p>
    <w:p w14:paraId="7A1A9F4E" w14:textId="77777777" w:rsidR="009F762E" w:rsidRPr="00242DFB" w:rsidRDefault="00000000" w:rsidP="002A0E52">
      <w:pPr>
        <w:spacing w:line="360" w:lineRule="auto"/>
        <w:rPr>
          <w:rFonts w:ascii="Arial" w:hAnsi="Arial" w:cs="Arial"/>
        </w:rPr>
      </w:pPr>
      <w:r w:rsidRPr="00242DFB">
        <w:rPr>
          <w:rFonts w:ascii="Arial" w:hAnsi="Arial" w:cs="Arial"/>
          <w:color w:val="000000"/>
        </w:rPr>
        <w:t>Gráfica 4. Población vs. puntos de dispensación .............................................. 44</w:t>
      </w:r>
    </w:p>
    <w:p w14:paraId="6A5E6620" w14:textId="77777777" w:rsidR="009F762E" w:rsidRPr="00242DFB" w:rsidRDefault="00000000" w:rsidP="002A0E52">
      <w:pPr>
        <w:spacing w:line="360" w:lineRule="auto"/>
        <w:rPr>
          <w:rFonts w:ascii="Arial" w:hAnsi="Arial" w:cs="Arial"/>
        </w:rPr>
      </w:pPr>
      <w:r w:rsidRPr="00242DFB">
        <w:rPr>
          <w:rFonts w:ascii="Arial" w:hAnsi="Arial" w:cs="Arial"/>
          <w:color w:val="000000"/>
        </w:rPr>
        <w:lastRenderedPageBreak/>
        <w:t>Gráfica 5. Total activos y pasivos ..................................................................... 62</w:t>
      </w:r>
    </w:p>
    <w:p w14:paraId="4280BDF4" w14:textId="77777777" w:rsidR="009F762E" w:rsidRPr="00242DFB" w:rsidRDefault="00000000" w:rsidP="002A0E52">
      <w:pPr>
        <w:spacing w:line="360" w:lineRule="auto"/>
        <w:rPr>
          <w:rFonts w:ascii="Arial" w:hAnsi="Arial" w:cs="Arial"/>
        </w:rPr>
      </w:pPr>
      <w:r w:rsidRPr="00242DFB">
        <w:rPr>
          <w:rFonts w:ascii="Arial" w:hAnsi="Arial" w:cs="Arial"/>
          <w:color w:val="000000"/>
        </w:rPr>
        <w:t>Gráfica 6. Cuentas por pagar y pasivos ............................................................ 65</w:t>
      </w:r>
    </w:p>
    <w:p w14:paraId="60041BCC" w14:textId="77777777" w:rsidR="009F762E" w:rsidRPr="00242DFB" w:rsidRDefault="00000000" w:rsidP="002A0E52">
      <w:pPr>
        <w:spacing w:line="360" w:lineRule="auto"/>
        <w:rPr>
          <w:rFonts w:ascii="Arial" w:hAnsi="Arial" w:cs="Arial"/>
        </w:rPr>
      </w:pPr>
      <w:r w:rsidRPr="00242DFB">
        <w:rPr>
          <w:rFonts w:ascii="Arial" w:hAnsi="Arial" w:cs="Arial"/>
          <w:color w:val="000000"/>
        </w:rPr>
        <w:t>Gráfica 7. Siniestralidad .................................................................................... 66</w:t>
      </w:r>
    </w:p>
    <w:p w14:paraId="18AB3901" w14:textId="77777777" w:rsidR="009F762E" w:rsidRPr="00242DFB" w:rsidRDefault="00000000" w:rsidP="002A0E52">
      <w:pPr>
        <w:spacing w:line="360" w:lineRule="auto"/>
        <w:rPr>
          <w:rFonts w:ascii="Arial" w:hAnsi="Arial" w:cs="Arial"/>
        </w:rPr>
      </w:pPr>
      <w:r w:rsidRPr="00242DFB">
        <w:rPr>
          <w:rFonts w:ascii="Arial" w:hAnsi="Arial" w:cs="Arial"/>
          <w:color w:val="000000"/>
        </w:rPr>
        <w:t>Gráfica 8. Endeudamiento ................................................................................. 68</w:t>
      </w:r>
    </w:p>
    <w:p w14:paraId="7BB6914F" w14:textId="77777777" w:rsidR="009F762E" w:rsidRPr="00242DFB" w:rsidRDefault="009F762E" w:rsidP="002A0E52">
      <w:pPr>
        <w:spacing w:line="360" w:lineRule="auto"/>
        <w:jc w:val="both"/>
        <w:rPr>
          <w:rFonts w:ascii="Arial" w:hAnsi="Arial" w:cs="Arial"/>
          <w:b/>
          <w:bCs/>
          <w:color w:val="000000" w:themeColor="text1"/>
        </w:rPr>
      </w:pPr>
    </w:p>
    <w:p w14:paraId="71D139C2" w14:textId="77777777" w:rsidR="00841523" w:rsidRPr="00242DFB" w:rsidRDefault="00841523" w:rsidP="002A0E52">
      <w:pPr>
        <w:spacing w:line="360" w:lineRule="auto"/>
        <w:jc w:val="both"/>
        <w:rPr>
          <w:rFonts w:ascii="Arial" w:hAnsi="Arial" w:cs="Arial"/>
          <w:b/>
          <w:bCs/>
          <w:color w:val="000000" w:themeColor="text1"/>
        </w:rPr>
      </w:pPr>
    </w:p>
    <w:p w14:paraId="11A764DB" w14:textId="77777777" w:rsidR="00841523" w:rsidRPr="00242DFB" w:rsidRDefault="00841523" w:rsidP="002A0E52">
      <w:pPr>
        <w:spacing w:line="360" w:lineRule="auto"/>
        <w:jc w:val="both"/>
        <w:rPr>
          <w:rFonts w:ascii="Arial" w:hAnsi="Arial" w:cs="Arial"/>
          <w:b/>
          <w:bCs/>
          <w:color w:val="000000" w:themeColor="text1"/>
        </w:rPr>
      </w:pPr>
    </w:p>
    <w:p w14:paraId="6286C36E" w14:textId="77777777" w:rsidR="00841523" w:rsidRPr="00242DFB" w:rsidRDefault="00841523" w:rsidP="002A0E52">
      <w:pPr>
        <w:spacing w:line="360" w:lineRule="auto"/>
        <w:jc w:val="both"/>
        <w:rPr>
          <w:rFonts w:ascii="Arial" w:hAnsi="Arial" w:cs="Arial"/>
          <w:b/>
          <w:bCs/>
          <w:color w:val="000000" w:themeColor="text1"/>
        </w:rPr>
      </w:pPr>
    </w:p>
    <w:p w14:paraId="0FA59B5E" w14:textId="77777777" w:rsidR="00841523" w:rsidRPr="00242DFB" w:rsidRDefault="00841523" w:rsidP="002A0E52">
      <w:pPr>
        <w:spacing w:line="360" w:lineRule="auto"/>
        <w:jc w:val="both"/>
        <w:rPr>
          <w:rFonts w:ascii="Arial" w:hAnsi="Arial" w:cs="Arial"/>
          <w:b/>
          <w:bCs/>
          <w:color w:val="000000" w:themeColor="text1"/>
        </w:rPr>
      </w:pPr>
    </w:p>
    <w:p w14:paraId="74877CCA" w14:textId="77777777" w:rsidR="00841523" w:rsidRPr="00242DFB" w:rsidRDefault="00841523" w:rsidP="002A0E52">
      <w:pPr>
        <w:spacing w:line="360" w:lineRule="auto"/>
        <w:jc w:val="both"/>
        <w:rPr>
          <w:rFonts w:ascii="Arial" w:hAnsi="Arial" w:cs="Arial"/>
          <w:b/>
          <w:bCs/>
          <w:color w:val="000000" w:themeColor="text1"/>
        </w:rPr>
      </w:pPr>
    </w:p>
    <w:p w14:paraId="1A71E425" w14:textId="77777777" w:rsidR="00841523" w:rsidRPr="00242DFB" w:rsidRDefault="00841523" w:rsidP="002A0E52">
      <w:pPr>
        <w:spacing w:line="360" w:lineRule="auto"/>
        <w:jc w:val="both"/>
        <w:rPr>
          <w:rFonts w:ascii="Arial" w:hAnsi="Arial" w:cs="Arial"/>
          <w:b/>
          <w:bCs/>
          <w:color w:val="000000" w:themeColor="text1"/>
        </w:rPr>
      </w:pPr>
    </w:p>
    <w:p w14:paraId="1BE19C10" w14:textId="77777777" w:rsidR="00841523" w:rsidRPr="00242DFB" w:rsidRDefault="00841523" w:rsidP="002A0E52">
      <w:pPr>
        <w:spacing w:line="360" w:lineRule="auto"/>
        <w:jc w:val="both"/>
        <w:rPr>
          <w:rFonts w:ascii="Arial" w:hAnsi="Arial" w:cs="Arial"/>
          <w:b/>
          <w:bCs/>
          <w:color w:val="000000" w:themeColor="text1"/>
        </w:rPr>
      </w:pPr>
    </w:p>
    <w:p w14:paraId="47EB4742" w14:textId="77777777" w:rsidR="00841523" w:rsidRPr="00242DFB" w:rsidRDefault="00841523" w:rsidP="002A0E52">
      <w:pPr>
        <w:spacing w:line="360" w:lineRule="auto"/>
        <w:jc w:val="both"/>
        <w:rPr>
          <w:rFonts w:ascii="Arial" w:hAnsi="Arial" w:cs="Arial"/>
          <w:b/>
          <w:bCs/>
          <w:color w:val="000000" w:themeColor="text1"/>
        </w:rPr>
      </w:pPr>
    </w:p>
    <w:p w14:paraId="6EC2AB2B" w14:textId="77777777" w:rsidR="00841523" w:rsidRPr="00242DFB" w:rsidRDefault="00841523" w:rsidP="002A0E52">
      <w:pPr>
        <w:spacing w:line="360" w:lineRule="auto"/>
        <w:jc w:val="both"/>
        <w:rPr>
          <w:rFonts w:ascii="Arial" w:hAnsi="Arial" w:cs="Arial"/>
          <w:b/>
          <w:bCs/>
          <w:color w:val="000000" w:themeColor="text1"/>
        </w:rPr>
      </w:pPr>
    </w:p>
    <w:p w14:paraId="626D08F3" w14:textId="77777777" w:rsidR="00841523" w:rsidRPr="00242DFB" w:rsidRDefault="00841523" w:rsidP="002A0E52">
      <w:pPr>
        <w:spacing w:line="360" w:lineRule="auto"/>
        <w:jc w:val="both"/>
        <w:rPr>
          <w:rFonts w:ascii="Arial" w:hAnsi="Arial" w:cs="Arial"/>
          <w:b/>
          <w:bCs/>
          <w:color w:val="000000" w:themeColor="text1"/>
        </w:rPr>
      </w:pPr>
    </w:p>
    <w:p w14:paraId="6AC356B6" w14:textId="77777777" w:rsidR="00841523" w:rsidRPr="00242DFB" w:rsidRDefault="00841523" w:rsidP="002A0E52">
      <w:pPr>
        <w:spacing w:line="360" w:lineRule="auto"/>
        <w:jc w:val="both"/>
        <w:rPr>
          <w:rFonts w:ascii="Arial" w:hAnsi="Arial" w:cs="Arial"/>
          <w:b/>
          <w:bCs/>
          <w:color w:val="000000" w:themeColor="text1"/>
        </w:rPr>
      </w:pPr>
    </w:p>
    <w:p w14:paraId="23262688" w14:textId="77777777" w:rsidR="00841523" w:rsidRPr="00242DFB" w:rsidRDefault="00841523" w:rsidP="002A0E52">
      <w:pPr>
        <w:spacing w:line="360" w:lineRule="auto"/>
        <w:jc w:val="both"/>
        <w:rPr>
          <w:rFonts w:ascii="Arial" w:hAnsi="Arial" w:cs="Arial"/>
          <w:b/>
          <w:bCs/>
          <w:color w:val="000000" w:themeColor="text1"/>
        </w:rPr>
      </w:pPr>
    </w:p>
    <w:p w14:paraId="4B52B610" w14:textId="77777777" w:rsidR="00841523" w:rsidRPr="00242DFB" w:rsidRDefault="00841523" w:rsidP="002A0E52">
      <w:pPr>
        <w:spacing w:line="360" w:lineRule="auto"/>
        <w:jc w:val="both"/>
        <w:rPr>
          <w:rFonts w:ascii="Arial" w:hAnsi="Arial" w:cs="Arial"/>
          <w:b/>
          <w:bCs/>
          <w:color w:val="000000" w:themeColor="text1"/>
        </w:rPr>
      </w:pPr>
    </w:p>
    <w:p w14:paraId="2453D4A2" w14:textId="77777777" w:rsidR="00841523" w:rsidRPr="00242DFB" w:rsidRDefault="00841523" w:rsidP="002A0E52">
      <w:pPr>
        <w:spacing w:line="360" w:lineRule="auto"/>
        <w:jc w:val="both"/>
        <w:rPr>
          <w:rFonts w:ascii="Arial" w:hAnsi="Arial" w:cs="Arial"/>
          <w:b/>
          <w:bCs/>
          <w:color w:val="000000" w:themeColor="text1"/>
        </w:rPr>
      </w:pPr>
    </w:p>
    <w:p w14:paraId="3D6AD2F3" w14:textId="77777777" w:rsidR="00841523" w:rsidRPr="00242DFB" w:rsidRDefault="00841523" w:rsidP="002A0E52">
      <w:pPr>
        <w:spacing w:line="360" w:lineRule="auto"/>
        <w:jc w:val="both"/>
        <w:rPr>
          <w:rFonts w:ascii="Arial" w:hAnsi="Arial" w:cs="Arial"/>
          <w:b/>
          <w:bCs/>
          <w:color w:val="000000" w:themeColor="text1"/>
        </w:rPr>
      </w:pPr>
    </w:p>
    <w:p w14:paraId="681AC02E" w14:textId="77777777" w:rsidR="00841523" w:rsidRPr="00242DFB" w:rsidRDefault="00841523" w:rsidP="002A0E52">
      <w:pPr>
        <w:spacing w:line="360" w:lineRule="auto"/>
        <w:jc w:val="both"/>
        <w:rPr>
          <w:rFonts w:ascii="Arial" w:hAnsi="Arial" w:cs="Arial"/>
          <w:b/>
          <w:bCs/>
          <w:color w:val="000000" w:themeColor="text1"/>
        </w:rPr>
      </w:pPr>
    </w:p>
    <w:p w14:paraId="401F445B" w14:textId="77777777" w:rsidR="00841523" w:rsidRPr="00242DFB" w:rsidRDefault="00841523" w:rsidP="002A0E52">
      <w:pPr>
        <w:spacing w:line="360" w:lineRule="auto"/>
        <w:jc w:val="both"/>
        <w:rPr>
          <w:rFonts w:ascii="Arial" w:hAnsi="Arial" w:cs="Arial"/>
          <w:b/>
          <w:bCs/>
          <w:color w:val="000000" w:themeColor="text1"/>
        </w:rPr>
      </w:pPr>
    </w:p>
    <w:p w14:paraId="45D68DFD" w14:textId="77777777" w:rsidR="002A0E52" w:rsidRPr="00242DFB" w:rsidRDefault="002A0E52" w:rsidP="002A0E52">
      <w:pPr>
        <w:spacing w:line="360" w:lineRule="auto"/>
        <w:jc w:val="both"/>
        <w:rPr>
          <w:rFonts w:ascii="Arial" w:hAnsi="Arial" w:cs="Arial"/>
          <w:b/>
          <w:bCs/>
          <w:color w:val="000000" w:themeColor="text1"/>
        </w:rPr>
      </w:pPr>
    </w:p>
    <w:p w14:paraId="73C1076E" w14:textId="77777777" w:rsidR="002A0E52" w:rsidRPr="00242DFB" w:rsidRDefault="002A0E52" w:rsidP="002A0E52">
      <w:pPr>
        <w:spacing w:line="360" w:lineRule="auto"/>
        <w:jc w:val="both"/>
        <w:rPr>
          <w:rFonts w:ascii="Arial" w:hAnsi="Arial" w:cs="Arial"/>
          <w:b/>
          <w:bCs/>
          <w:color w:val="000000" w:themeColor="text1"/>
        </w:rPr>
      </w:pPr>
    </w:p>
    <w:p w14:paraId="6EFF7536" w14:textId="77777777" w:rsidR="002A0E52" w:rsidRPr="00242DFB" w:rsidRDefault="002A0E52" w:rsidP="002A0E52">
      <w:pPr>
        <w:spacing w:line="360" w:lineRule="auto"/>
        <w:jc w:val="both"/>
        <w:rPr>
          <w:rFonts w:ascii="Arial" w:hAnsi="Arial" w:cs="Arial"/>
          <w:b/>
          <w:bCs/>
          <w:color w:val="000000" w:themeColor="text1"/>
        </w:rPr>
      </w:pPr>
    </w:p>
    <w:p w14:paraId="1D4AAC97" w14:textId="77777777" w:rsidR="002A0E52" w:rsidRPr="00242DFB" w:rsidRDefault="002A0E52" w:rsidP="002A0E52">
      <w:pPr>
        <w:spacing w:line="360" w:lineRule="auto"/>
        <w:jc w:val="both"/>
        <w:rPr>
          <w:rFonts w:ascii="Arial" w:hAnsi="Arial" w:cs="Arial"/>
          <w:b/>
          <w:bCs/>
          <w:color w:val="000000" w:themeColor="text1"/>
        </w:rPr>
      </w:pPr>
    </w:p>
    <w:p w14:paraId="2A51BB10" w14:textId="77777777" w:rsidR="002A0E52" w:rsidRPr="00242DFB" w:rsidRDefault="002A0E52" w:rsidP="002A0E52">
      <w:pPr>
        <w:spacing w:line="360" w:lineRule="auto"/>
        <w:jc w:val="both"/>
        <w:rPr>
          <w:rFonts w:ascii="Arial" w:hAnsi="Arial" w:cs="Arial"/>
          <w:b/>
          <w:bCs/>
          <w:color w:val="000000" w:themeColor="text1"/>
        </w:rPr>
      </w:pPr>
    </w:p>
    <w:p w14:paraId="44062ABC" w14:textId="77777777" w:rsidR="002A0E52" w:rsidRPr="00242DFB" w:rsidRDefault="002A0E52" w:rsidP="002A0E52">
      <w:pPr>
        <w:spacing w:line="360" w:lineRule="auto"/>
        <w:jc w:val="both"/>
        <w:rPr>
          <w:rFonts w:ascii="Arial" w:hAnsi="Arial" w:cs="Arial"/>
          <w:b/>
          <w:bCs/>
          <w:color w:val="000000" w:themeColor="text1"/>
        </w:rPr>
      </w:pPr>
    </w:p>
    <w:p w14:paraId="5C994E2B" w14:textId="77777777" w:rsidR="002A0E52" w:rsidRPr="00242DFB" w:rsidRDefault="002A0E52" w:rsidP="002A0E52">
      <w:pPr>
        <w:spacing w:line="360" w:lineRule="auto"/>
        <w:jc w:val="both"/>
        <w:rPr>
          <w:rFonts w:ascii="Arial" w:hAnsi="Arial" w:cs="Arial"/>
          <w:b/>
          <w:bCs/>
          <w:color w:val="000000" w:themeColor="text1"/>
        </w:rPr>
      </w:pPr>
    </w:p>
    <w:p w14:paraId="205AD16D" w14:textId="77777777" w:rsidR="00841523" w:rsidRPr="00242DFB" w:rsidRDefault="00841523" w:rsidP="002A0E52">
      <w:pPr>
        <w:spacing w:line="360" w:lineRule="auto"/>
        <w:jc w:val="both"/>
        <w:rPr>
          <w:rFonts w:ascii="Arial" w:hAnsi="Arial" w:cs="Arial"/>
          <w:b/>
          <w:bCs/>
          <w:color w:val="000000" w:themeColor="text1"/>
        </w:rPr>
      </w:pPr>
    </w:p>
    <w:p w14:paraId="25F17B83" w14:textId="77777777" w:rsidR="009F762E" w:rsidRPr="00242DFB" w:rsidRDefault="00000000" w:rsidP="002A0E52">
      <w:pPr>
        <w:pStyle w:val="Ttulo1"/>
        <w:numPr>
          <w:ilvl w:val="0"/>
          <w:numId w:val="7"/>
        </w:numPr>
        <w:spacing w:before="0" w:line="360" w:lineRule="auto"/>
        <w:jc w:val="both"/>
        <w:rPr>
          <w:rFonts w:ascii="Arial" w:eastAsia="Arial" w:hAnsi="Arial" w:cs="Arial"/>
          <w:b/>
          <w:bCs/>
          <w:color w:val="000000" w:themeColor="text1"/>
          <w:sz w:val="24"/>
          <w:szCs w:val="24"/>
        </w:rPr>
      </w:pPr>
      <w:bookmarkStart w:id="1" w:name="__RefHeading___Toc8566_542869190"/>
      <w:bookmarkStart w:id="2" w:name="_Toc230853758"/>
      <w:bookmarkEnd w:id="1"/>
      <w:r w:rsidRPr="00242DFB">
        <w:rPr>
          <w:rFonts w:ascii="Arial" w:eastAsia="Arial" w:hAnsi="Arial" w:cs="Arial"/>
          <w:b/>
          <w:bCs/>
          <w:color w:val="000000"/>
          <w:sz w:val="24"/>
          <w:szCs w:val="24"/>
        </w:rPr>
        <w:lastRenderedPageBreak/>
        <w:t>INTRODUCCIÓN</w:t>
      </w:r>
      <w:bookmarkEnd w:id="2"/>
    </w:p>
    <w:p w14:paraId="3C1C1526" w14:textId="77777777" w:rsidR="009F762E" w:rsidRPr="00242DFB" w:rsidRDefault="009F762E" w:rsidP="002A0E52">
      <w:pPr>
        <w:shd w:val="clear" w:color="auto" w:fill="FFFFFF" w:themeFill="background1"/>
        <w:spacing w:line="360" w:lineRule="auto"/>
        <w:jc w:val="both"/>
        <w:rPr>
          <w:rFonts w:ascii="Arial" w:eastAsia="Aptos" w:hAnsi="Arial" w:cs="Arial"/>
          <w:color w:val="000000" w:themeColor="text1"/>
        </w:rPr>
      </w:pPr>
    </w:p>
    <w:p w14:paraId="1C64345D" w14:textId="77777777" w:rsidR="009F762E" w:rsidRPr="00242DFB" w:rsidRDefault="00000000" w:rsidP="002A0E52">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color w:val="000000"/>
        </w:rPr>
        <w:t>La toma de decisiones en el sector salud requiere el análisis sistemático de información objetiva, verificable y proveniente de fuentes confiables, que permita evaluar integralmente el desempeño de los actores del Sistema General de Seguridad Social en Salud (SGSSS). En el marco de las competencias asignadas a las entidades territoriales por la normatividad vigente, corresponde adelantar acciones de dirección, coordinación, inspección, vigilancia y seguimiento sobre la operación de las Entidades Promotoras de Salud (EPS), con el fin de contribuir a la garantía efectiva del derecho fundamental a la salud y a la adecuada gestión de los riesgos que puedan afectar la prestación de los servicios a la población afiliada.</w:t>
      </w:r>
    </w:p>
    <w:p w14:paraId="4B399A4B" w14:textId="77777777" w:rsidR="009F762E" w:rsidRPr="00242DFB" w:rsidRDefault="009F762E" w:rsidP="002A0E52">
      <w:pPr>
        <w:shd w:val="clear" w:color="auto" w:fill="FFFFFF" w:themeFill="background1"/>
        <w:spacing w:line="360" w:lineRule="auto"/>
        <w:jc w:val="both"/>
        <w:rPr>
          <w:rFonts w:ascii="Arial" w:eastAsia="Arial" w:hAnsi="Arial" w:cs="Arial"/>
          <w:color w:val="000000" w:themeColor="text1"/>
        </w:rPr>
      </w:pPr>
    </w:p>
    <w:p w14:paraId="7BE10629" w14:textId="77777777" w:rsidR="009F762E" w:rsidRPr="00242DFB" w:rsidRDefault="00000000" w:rsidP="002A0E52">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color w:val="000000"/>
        </w:rPr>
        <w:t>En este contexto, el análisis técnico basado en evidencia constituye un instrumento esencial para sustentar decisiones orientadas al fortalecimiento de la gobernanza del sistema, la protección de los usuarios, la identificación oportuna de riesgos operacionales, asistenciales y financieros, así como la adopción de medidas preventivas y correctivas que favorezcan la continuidad, oportunidad, accesibilidad, calidad y resolutividad de la atención en salud. Asimismo, permite focalizar las acciones de inspección, vigilancia y seguimiento mediante la identificación de alertas tempranas, brechas de desempeño y factores que puedan comprometer la garantía de los servicios de salud.</w:t>
      </w:r>
    </w:p>
    <w:p w14:paraId="02B647B6" w14:textId="77777777" w:rsidR="009F762E" w:rsidRPr="00242DFB" w:rsidRDefault="009F762E" w:rsidP="002A0E52">
      <w:pPr>
        <w:shd w:val="clear" w:color="auto" w:fill="FFFFFF" w:themeFill="background1"/>
        <w:spacing w:line="360" w:lineRule="auto"/>
        <w:jc w:val="both"/>
        <w:rPr>
          <w:rFonts w:ascii="Arial" w:eastAsia="Arial" w:hAnsi="Arial" w:cs="Arial"/>
          <w:color w:val="000000" w:themeColor="text1"/>
        </w:rPr>
      </w:pPr>
    </w:p>
    <w:p w14:paraId="25E9CB7D" w14:textId="77777777" w:rsidR="009F762E" w:rsidRPr="00242DFB" w:rsidRDefault="00000000" w:rsidP="002A0E52">
      <w:pPr>
        <w:shd w:val="clear" w:color="auto" w:fill="FFFFFF" w:themeFill="background1"/>
        <w:spacing w:line="360" w:lineRule="auto"/>
        <w:jc w:val="both"/>
        <w:rPr>
          <w:rFonts w:ascii="Arial" w:hAnsi="Arial" w:cs="Arial"/>
          <w:color w:val="000000"/>
        </w:rPr>
      </w:pPr>
      <w:r w:rsidRPr="00242DFB">
        <w:rPr>
          <w:rFonts w:ascii="Arial" w:hAnsi="Arial" w:cs="Arial"/>
          <w:color w:val="000000"/>
        </w:rPr>
        <w:t xml:space="preserve">El presente informe tiene como objetivo realizar una evaluación integral de la operación de Capital Salud EPS-S en el Distrito Capital, a partir del análisis de sus principales dimensiones de desempeño. Para ello, se examinan aspectos relacionados con la caracterización demográfica y epidemiológica de la población afiliada, la gestión integral del riesgo en salud, la organización y funcionamiento de la red de prestación de servicios, y el acceso efectivo a la atención, con énfasis en indicadores de oportunidad, continuidad y capacidad resolutiva. De manera complementaria, se incorporan las manifestaciones ciudadanas, incluyendo peticiones, quejas, reclamos y demás requerimientos, como fuente de información </w:t>
      </w:r>
      <w:r w:rsidRPr="00242DFB">
        <w:rPr>
          <w:rFonts w:ascii="Arial" w:hAnsi="Arial" w:cs="Arial"/>
          <w:color w:val="000000"/>
        </w:rPr>
        <w:lastRenderedPageBreak/>
        <w:t>relevante para la identificación de barreras de acceso, riesgos en la atención y tendencias asociadas a la experiencia de los usuarios. Igualmente, se analiza la situación financiera de la entidad, considerando elementos relacionados con la administración de los recursos del aseguramiento y su posible incidencia en la sostenibilidad operativa y la garantía de la prestación de servicios de salud.</w:t>
      </w:r>
    </w:p>
    <w:p w14:paraId="0F7769F0" w14:textId="77777777" w:rsidR="002A0E52" w:rsidRPr="00242DFB" w:rsidRDefault="002A0E52" w:rsidP="002A0E52">
      <w:pPr>
        <w:shd w:val="clear" w:color="auto" w:fill="FFFFFF" w:themeFill="background1"/>
        <w:spacing w:line="360" w:lineRule="auto"/>
        <w:jc w:val="both"/>
        <w:rPr>
          <w:rFonts w:ascii="Arial" w:eastAsia="Arial" w:hAnsi="Arial" w:cs="Arial"/>
          <w:color w:val="000000" w:themeColor="text1"/>
        </w:rPr>
      </w:pPr>
    </w:p>
    <w:p w14:paraId="153040FF" w14:textId="77777777" w:rsidR="009F762E" w:rsidRPr="00242DFB" w:rsidRDefault="00000000" w:rsidP="002A0E52">
      <w:pPr>
        <w:shd w:val="clear" w:color="auto" w:fill="FFFFFF" w:themeFill="background1"/>
        <w:spacing w:line="360" w:lineRule="auto"/>
        <w:jc w:val="both"/>
        <w:rPr>
          <w:rFonts w:ascii="Arial" w:eastAsia="Arial" w:hAnsi="Arial" w:cs="Arial"/>
          <w:color w:val="000000" w:themeColor="text1"/>
        </w:rPr>
      </w:pPr>
      <w:r w:rsidRPr="00242DFB">
        <w:rPr>
          <w:rFonts w:ascii="Arial" w:hAnsi="Arial" w:cs="Arial"/>
          <w:color w:val="000000"/>
        </w:rPr>
        <w:t>El informe se fundamenta en la revisión y análisis de la información reportada por Capital Salud EPS-S, complementada con los resultados de las actuaciones adelantadas por el equipo de Inspección, Vigilancia y Seguimiento (IVS) de la Secretaría Distrital de Salud, así como con la evaluación de indicadores, reportes, alertas y demás información oficial publicada por la Superintendencia Nacional de Salud y otras fuentes institucionales. La integración y triangulación de estas evidencias permite consolidar hallazgos con sustento técnico, identificar brechas y riesgos relevantes para la gestión del aseguramiento y generar insumos para la toma de decisiones institucionales orientadas al fortalecimiento del seguimiento, la definición de acciones de mejora y la protección de la población afiliada en el Distrito Capital.</w:t>
      </w:r>
    </w:p>
    <w:p w14:paraId="773A4529" w14:textId="77777777" w:rsidR="009F762E" w:rsidRPr="00242DFB" w:rsidRDefault="009F762E" w:rsidP="002A0E52">
      <w:pPr>
        <w:spacing w:line="360" w:lineRule="auto"/>
        <w:jc w:val="both"/>
        <w:rPr>
          <w:rFonts w:ascii="Arial" w:eastAsia="Arial" w:hAnsi="Arial" w:cs="Arial"/>
          <w:color w:val="000000" w:themeColor="text1"/>
        </w:rPr>
      </w:pPr>
    </w:p>
    <w:p w14:paraId="117C1D86" w14:textId="77777777" w:rsidR="009F762E" w:rsidRPr="00242DFB" w:rsidRDefault="00000000" w:rsidP="002A0E52">
      <w:pPr>
        <w:pStyle w:val="Ttulo1"/>
        <w:numPr>
          <w:ilvl w:val="0"/>
          <w:numId w:val="7"/>
        </w:numPr>
        <w:spacing w:before="0" w:line="360" w:lineRule="auto"/>
        <w:jc w:val="both"/>
        <w:rPr>
          <w:rFonts w:ascii="Arial" w:eastAsia="Arial" w:hAnsi="Arial" w:cs="Arial"/>
          <w:b/>
          <w:bCs/>
          <w:color w:val="000000" w:themeColor="text1"/>
          <w:sz w:val="24"/>
          <w:szCs w:val="24"/>
        </w:rPr>
      </w:pPr>
      <w:bookmarkStart w:id="3" w:name="__RefHeading___Toc8568_542869190"/>
      <w:bookmarkStart w:id="4" w:name="_Toc230853759"/>
      <w:bookmarkEnd w:id="3"/>
      <w:r w:rsidRPr="00242DFB">
        <w:rPr>
          <w:rFonts w:ascii="Arial" w:eastAsia="Arial" w:hAnsi="Arial" w:cs="Arial"/>
          <w:b/>
          <w:bCs/>
          <w:color w:val="000000"/>
          <w:sz w:val="24"/>
          <w:szCs w:val="24"/>
        </w:rPr>
        <w:t>ANTECEDENTES</w:t>
      </w:r>
      <w:bookmarkEnd w:id="4"/>
      <w:r w:rsidRPr="00242DFB">
        <w:rPr>
          <w:rFonts w:ascii="Arial" w:eastAsia="Arial" w:hAnsi="Arial" w:cs="Arial"/>
          <w:b/>
          <w:bCs/>
          <w:color w:val="000000"/>
          <w:sz w:val="24"/>
          <w:szCs w:val="24"/>
        </w:rPr>
        <w:t xml:space="preserve"> </w:t>
      </w:r>
    </w:p>
    <w:p w14:paraId="6185593F" w14:textId="77777777" w:rsidR="009F762E" w:rsidRPr="00242DFB" w:rsidRDefault="009F762E" w:rsidP="002A0E52">
      <w:pPr>
        <w:shd w:val="clear" w:color="auto" w:fill="FFFFFF" w:themeFill="background1"/>
        <w:spacing w:line="360" w:lineRule="auto"/>
        <w:jc w:val="both"/>
        <w:rPr>
          <w:rFonts w:ascii="Arial" w:eastAsia="Arial" w:hAnsi="Arial" w:cs="Arial"/>
          <w:color w:val="000000" w:themeColor="text1"/>
        </w:rPr>
      </w:pPr>
    </w:p>
    <w:p w14:paraId="53BDAF3C" w14:textId="77777777" w:rsidR="009F762E" w:rsidRPr="00242DFB" w:rsidRDefault="00000000" w:rsidP="002A0E52">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color w:val="000000"/>
        </w:rPr>
        <w:t>La Secretaría Distrital de Salud, en su calidad de entidad rectora en salud del Distrito Capital, tiene la responsabilidad de orientar, coordinar y evaluar las acciones encaminadas a garantizar el goce efectivo del derecho fundamental a la salud. En desarrollo de esta función, debe propiciar las condiciones necesarias para asegurar el acceso oportuno, continuo, integral y de calidad a los servicios de salud, en el marco del Sistema General de Seguridad Social en Salud (SGSSS) y de las competencias asignadas por la normatividad vigente.</w:t>
      </w:r>
    </w:p>
    <w:p w14:paraId="2EF87979" w14:textId="77777777" w:rsidR="009F762E" w:rsidRPr="00242DFB" w:rsidRDefault="009F762E" w:rsidP="002A0E52">
      <w:pPr>
        <w:shd w:val="clear" w:color="auto" w:fill="FFFFFF" w:themeFill="background1"/>
        <w:spacing w:line="360" w:lineRule="auto"/>
        <w:jc w:val="both"/>
        <w:rPr>
          <w:rFonts w:ascii="Arial" w:eastAsia="Arial" w:hAnsi="Arial" w:cs="Arial"/>
          <w:color w:val="000000" w:themeColor="text1"/>
        </w:rPr>
      </w:pPr>
    </w:p>
    <w:p w14:paraId="0D58E749" w14:textId="77777777" w:rsidR="009F762E" w:rsidRPr="00242DFB" w:rsidRDefault="00000000" w:rsidP="002A0E52">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color w:val="000000"/>
        </w:rPr>
        <w:t xml:space="preserve">La Ley 715 de 2001 establece las competencias de las entidades territoriales en materia de salud, otorgándoles responsabilidades relacionadas con la dirección, coordinación, supervisión, seguimiento y evaluación del sector, así como con la </w:t>
      </w:r>
      <w:r w:rsidRPr="00242DFB">
        <w:rPr>
          <w:rFonts w:ascii="Arial" w:eastAsia="Arial" w:hAnsi="Arial" w:cs="Arial"/>
          <w:color w:val="000000"/>
        </w:rPr>
        <w:lastRenderedPageBreak/>
        <w:t>vigilancia del cumplimiento de las políticas, normas técnicas, científicas y administrativas expedidas por el Ministerio de Salud y Protección Social. Estas funciones buscan contribuir al cumplimiento de los objetivos del sistema y a la protección de los derechos de la población, sin perjuicio de las competencias atribuidas a otras autoridades de inspección, vigilancia y control.</w:t>
      </w:r>
    </w:p>
    <w:p w14:paraId="26AD8435" w14:textId="77777777" w:rsidR="009F762E" w:rsidRPr="00242DFB" w:rsidRDefault="009F762E" w:rsidP="002A0E52">
      <w:pPr>
        <w:shd w:val="clear" w:color="auto" w:fill="FFFFFF" w:themeFill="background1"/>
        <w:spacing w:line="360" w:lineRule="auto"/>
        <w:jc w:val="both"/>
        <w:rPr>
          <w:rFonts w:ascii="Arial" w:eastAsia="Arial" w:hAnsi="Arial" w:cs="Arial"/>
          <w:color w:val="000000" w:themeColor="text1"/>
        </w:rPr>
      </w:pPr>
    </w:p>
    <w:p w14:paraId="69B5B0EE" w14:textId="77777777" w:rsidR="009F762E" w:rsidRPr="00242DFB" w:rsidRDefault="00000000" w:rsidP="002A0E52">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color w:val="000000"/>
        </w:rPr>
        <w:t>Por su parte, la Ley 1122 de 2007 define las funciones esenciales e indelegables de las Entidades Promotoras de Salud (EPS), entre las que se encuentran la gestión del riesgo en salud, la gestión del riesgo financiero, la organización y articulación de la prestación de servicios para la población afiliada, la garantía de la calidad de la atención y la representación de los usuarios ante los demás actores del sistema. Estas responsabilidades constituyen elementos fundamentales para la adecuada operación del aseguramiento y para la garantía efectiva del acceso a los servicios de salud.</w:t>
      </w:r>
    </w:p>
    <w:p w14:paraId="7A5185D4" w14:textId="77777777" w:rsidR="009F762E" w:rsidRPr="00242DFB" w:rsidRDefault="009F762E" w:rsidP="002A0E52">
      <w:pPr>
        <w:shd w:val="clear" w:color="auto" w:fill="FFFFFF" w:themeFill="background1"/>
        <w:spacing w:line="360" w:lineRule="auto"/>
        <w:jc w:val="both"/>
        <w:rPr>
          <w:rFonts w:ascii="Arial" w:eastAsia="Arial" w:hAnsi="Arial" w:cs="Arial"/>
          <w:color w:val="000000" w:themeColor="text1"/>
        </w:rPr>
      </w:pPr>
    </w:p>
    <w:p w14:paraId="24882162" w14:textId="77777777" w:rsidR="009F762E" w:rsidRPr="00242DFB" w:rsidRDefault="00000000" w:rsidP="002A0E52">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color w:val="000000"/>
        </w:rPr>
        <w:t>De igual manera, la Ley 1438 de 2011 fortaleció las competencias de las entidades territoriales en materia de aseguramiento, prestación de servicios e inspección, vigilancia y control, consolidando su papel en el seguimiento al desempeño de los actores del sistema y en la identificación de riesgos que puedan afectar la atención de la población.</w:t>
      </w:r>
    </w:p>
    <w:p w14:paraId="157580C0" w14:textId="77777777" w:rsidR="009F762E" w:rsidRPr="00242DFB" w:rsidRDefault="009F762E" w:rsidP="002A0E52">
      <w:pPr>
        <w:shd w:val="clear" w:color="auto" w:fill="FFFFFF" w:themeFill="background1"/>
        <w:spacing w:line="360" w:lineRule="auto"/>
        <w:jc w:val="both"/>
        <w:rPr>
          <w:rFonts w:ascii="Arial" w:eastAsia="Arial" w:hAnsi="Arial" w:cs="Arial"/>
          <w:color w:val="000000" w:themeColor="text1"/>
        </w:rPr>
      </w:pPr>
    </w:p>
    <w:p w14:paraId="57D8F88D" w14:textId="77777777" w:rsidR="009F762E" w:rsidRPr="00242DFB" w:rsidRDefault="00000000" w:rsidP="002A0E52">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color w:val="000000"/>
        </w:rPr>
        <w:t xml:space="preserve">En este marco normativo y funcional, la Secretaría Distrital de Salud adelanta acciones de Inspección, Vigilancia y Seguimiento (IVS) sobre la operación de las Entidades Administradoras de Planes de Beneficios (EAPB) con presencia en el Distrito Capital, con el propósito de verificar el cumplimiento de sus obligaciones legales, contractuales y regulatorias frente a la población afiliada. Estas actuaciones permiten evaluar el desempeño institucional, identificar oportunamente riesgos operativos, asistenciales, financieros y de gestión, detectar barreras de acceso y posibles afectaciones en la continuidad y calidad de la atención, así como generar información técnica que sirva de soporte para la toma de decisiones orientadas al </w:t>
      </w:r>
      <w:r w:rsidRPr="00242DFB">
        <w:rPr>
          <w:rFonts w:ascii="Arial" w:eastAsia="Arial" w:hAnsi="Arial" w:cs="Arial"/>
          <w:color w:val="000000"/>
        </w:rPr>
        <w:lastRenderedPageBreak/>
        <w:t>fortalecimiento del aseguramiento y la protección del derecho fundamental a la salud.</w:t>
      </w:r>
    </w:p>
    <w:p w14:paraId="39C418E8" w14:textId="77777777" w:rsidR="009F762E" w:rsidRPr="00242DFB" w:rsidRDefault="009F762E" w:rsidP="002A0E52">
      <w:pPr>
        <w:spacing w:line="360" w:lineRule="auto"/>
        <w:jc w:val="both"/>
        <w:rPr>
          <w:rFonts w:ascii="Arial" w:eastAsia="Arial" w:hAnsi="Arial" w:cs="Arial"/>
          <w:color w:val="000000" w:themeColor="text1"/>
        </w:rPr>
      </w:pPr>
    </w:p>
    <w:p w14:paraId="32FC5466" w14:textId="77777777" w:rsidR="009F762E" w:rsidRPr="00242DFB" w:rsidRDefault="00000000" w:rsidP="002A0E52">
      <w:pPr>
        <w:pStyle w:val="Ttulo2"/>
        <w:numPr>
          <w:ilvl w:val="1"/>
          <w:numId w:val="7"/>
        </w:numPr>
        <w:spacing w:before="0" w:line="360" w:lineRule="auto"/>
        <w:jc w:val="both"/>
        <w:rPr>
          <w:rFonts w:ascii="Arial" w:eastAsia="Arial" w:hAnsi="Arial" w:cs="Arial"/>
          <w:b/>
          <w:bCs/>
          <w:color w:val="000000" w:themeColor="text1"/>
          <w:sz w:val="24"/>
          <w:szCs w:val="24"/>
        </w:rPr>
      </w:pPr>
      <w:bookmarkStart w:id="5" w:name="__RefHeading___Toc8570_542869190"/>
      <w:bookmarkStart w:id="6" w:name="_Toc230853760"/>
      <w:bookmarkEnd w:id="5"/>
      <w:r w:rsidRPr="00242DFB">
        <w:rPr>
          <w:rFonts w:ascii="Arial" w:eastAsia="Arial" w:hAnsi="Arial" w:cs="Arial"/>
          <w:b/>
          <w:bCs/>
          <w:color w:val="000000"/>
          <w:sz w:val="24"/>
          <w:szCs w:val="24"/>
        </w:rPr>
        <w:t>Contexto del aseguramiento en Bogotá</w:t>
      </w:r>
      <w:bookmarkEnd w:id="6"/>
      <w:r w:rsidRPr="00242DFB">
        <w:rPr>
          <w:rFonts w:ascii="Arial" w:eastAsia="Arial" w:hAnsi="Arial" w:cs="Arial"/>
          <w:b/>
          <w:bCs/>
          <w:color w:val="000000"/>
          <w:sz w:val="24"/>
          <w:szCs w:val="24"/>
        </w:rPr>
        <w:t xml:space="preserve"> </w:t>
      </w:r>
    </w:p>
    <w:p w14:paraId="153E97E9" w14:textId="77777777" w:rsidR="009F762E" w:rsidRPr="00242DFB" w:rsidRDefault="009F762E" w:rsidP="002A0E52">
      <w:pPr>
        <w:spacing w:line="360" w:lineRule="auto"/>
        <w:jc w:val="both"/>
        <w:rPr>
          <w:rFonts w:ascii="Arial" w:hAnsi="Arial" w:cs="Arial"/>
          <w:color w:val="000000" w:themeColor="text1"/>
        </w:rPr>
      </w:pPr>
    </w:p>
    <w:p w14:paraId="79C634D7" w14:textId="77777777" w:rsidR="0089421B" w:rsidRPr="00242DFB" w:rsidRDefault="0089421B" w:rsidP="0089421B">
      <w:pPr>
        <w:spacing w:line="360" w:lineRule="auto"/>
        <w:jc w:val="both"/>
        <w:rPr>
          <w:rFonts w:ascii="Arial" w:eastAsia="Arial" w:hAnsi="Arial" w:cs="Arial"/>
          <w:sz w:val="22"/>
          <w:szCs w:val="22"/>
        </w:rPr>
      </w:pPr>
      <w:r w:rsidRPr="00242DFB">
        <w:rPr>
          <w:rFonts w:ascii="Arial" w:eastAsia="Arial" w:hAnsi="Arial" w:cs="Arial"/>
          <w:sz w:val="22"/>
          <w:szCs w:val="22"/>
        </w:rPr>
        <w:t>Para el año 2025, con corte a 31 de diciembre</w:t>
      </w:r>
      <w:r w:rsidRPr="00242DFB">
        <w:rPr>
          <w:rStyle w:val="Refdenotaalpie"/>
          <w:rFonts w:ascii="Arial" w:eastAsia="Arial" w:hAnsi="Arial" w:cs="Arial"/>
          <w:sz w:val="22"/>
          <w:szCs w:val="22"/>
        </w:rPr>
        <w:footnoteReference w:id="1"/>
      </w:r>
      <w:r w:rsidRPr="00242DFB">
        <w:rPr>
          <w:rFonts w:ascii="Arial" w:eastAsia="Arial" w:hAnsi="Arial" w:cs="Arial"/>
          <w:sz w:val="22"/>
          <w:szCs w:val="22"/>
        </w:rPr>
        <w:t xml:space="preserve"> y de acuerdo con la BDUA, Bogotá registra un total de 8.021.580 afiliados al Sistema General de Seguridad Social en Salud, cifra que supera la proyección poblacional del DANE estimada en 7.937.898 habitantes, lo que corresponde a una cobertura del 100 %. Este comportamiento es consistente con la dinámica del sistema, asociada a procesos de afiliaciones múltiples, fenómenos migratorios y ejercicios de depuración administrativa.</w:t>
      </w:r>
    </w:p>
    <w:p w14:paraId="43E61710" w14:textId="77777777" w:rsidR="0089421B" w:rsidRPr="00242DFB" w:rsidRDefault="0089421B" w:rsidP="0089421B">
      <w:pPr>
        <w:spacing w:line="360" w:lineRule="auto"/>
        <w:ind w:firstLine="709"/>
        <w:jc w:val="both"/>
        <w:rPr>
          <w:rFonts w:ascii="Arial" w:eastAsia="Arial" w:hAnsi="Arial" w:cs="Arial"/>
          <w:sz w:val="22"/>
          <w:szCs w:val="22"/>
        </w:rPr>
      </w:pPr>
    </w:p>
    <w:p w14:paraId="6D0F9D7F" w14:textId="77777777" w:rsidR="0089421B" w:rsidRPr="00242DFB" w:rsidRDefault="0089421B" w:rsidP="0089421B">
      <w:pPr>
        <w:spacing w:line="360" w:lineRule="auto"/>
        <w:jc w:val="both"/>
        <w:rPr>
          <w:rFonts w:ascii="Arial" w:eastAsia="Arial" w:hAnsi="Arial" w:cs="Arial"/>
          <w:sz w:val="22"/>
          <w:szCs w:val="22"/>
        </w:rPr>
      </w:pPr>
      <w:r w:rsidRPr="00242DFB">
        <w:rPr>
          <w:rFonts w:ascii="Arial" w:eastAsia="Arial" w:hAnsi="Arial" w:cs="Arial"/>
          <w:sz w:val="22"/>
          <w:szCs w:val="22"/>
        </w:rPr>
        <w:t>El aseguramiento en la ciudad se concentra principalmente en el régimen contributivo, que agrupa 6.026.881 afiliados (75,9%), seguido del régimen subsidiado con 1.744.899 personas (22,0%). Por su parte, los regímenes de excepción representan una proporción menor, con un estimado de 249.800 afiliados (3,1%). Esta distribución refleja el perfil socioeconómico de Bogotá, caracterizado por una alta participación en el mercado laboral formal. En la tabla 1, se relaciona el estado del aseguramiento en salud de la población de Bogotá para el 2025.</w:t>
      </w:r>
    </w:p>
    <w:p w14:paraId="7146A090" w14:textId="77777777" w:rsidR="0089421B" w:rsidRPr="00242DFB" w:rsidRDefault="0089421B" w:rsidP="0089421B">
      <w:pPr>
        <w:spacing w:line="360" w:lineRule="auto"/>
        <w:rPr>
          <w:rFonts w:ascii="Arial" w:eastAsia="Arial" w:hAnsi="Arial" w:cs="Arial"/>
          <w:sz w:val="22"/>
          <w:szCs w:val="22"/>
        </w:rPr>
      </w:pPr>
    </w:p>
    <w:p w14:paraId="7F3362DF" w14:textId="6B58A243" w:rsidR="0089421B" w:rsidRPr="00242DFB" w:rsidRDefault="0089421B" w:rsidP="0089421B">
      <w:pPr>
        <w:pStyle w:val="Descripcin"/>
        <w:keepNext/>
        <w:jc w:val="center"/>
        <w:rPr>
          <w:rFonts w:ascii="Arial" w:hAnsi="Arial" w:cs="Arial"/>
          <w:color w:val="auto"/>
          <w:sz w:val="24"/>
          <w:szCs w:val="24"/>
        </w:rPr>
      </w:pPr>
      <w:r w:rsidRPr="00242DFB">
        <w:rPr>
          <w:rFonts w:ascii="Arial" w:hAnsi="Arial" w:cs="Arial"/>
          <w:color w:val="auto"/>
          <w:sz w:val="24"/>
          <w:szCs w:val="24"/>
        </w:rPr>
        <w:t xml:space="preserve">Tabla </w:t>
      </w:r>
      <w:r w:rsidRPr="00242DFB">
        <w:rPr>
          <w:rFonts w:ascii="Arial" w:hAnsi="Arial" w:cs="Arial"/>
          <w:color w:val="auto"/>
          <w:sz w:val="24"/>
          <w:szCs w:val="24"/>
        </w:rPr>
        <w:fldChar w:fldCharType="begin"/>
      </w:r>
      <w:r w:rsidRPr="00242DFB">
        <w:rPr>
          <w:rFonts w:ascii="Arial" w:hAnsi="Arial" w:cs="Arial"/>
          <w:color w:val="auto"/>
          <w:sz w:val="24"/>
          <w:szCs w:val="24"/>
        </w:rPr>
        <w:instrText xml:space="preserve"> SEQ Tabla \* ARABIC </w:instrText>
      </w:r>
      <w:r w:rsidRPr="00242DFB">
        <w:rPr>
          <w:rFonts w:ascii="Arial" w:hAnsi="Arial" w:cs="Arial"/>
          <w:color w:val="auto"/>
          <w:sz w:val="24"/>
          <w:szCs w:val="24"/>
        </w:rPr>
        <w:fldChar w:fldCharType="separate"/>
      </w:r>
      <w:r w:rsidR="00B1210D">
        <w:rPr>
          <w:rFonts w:ascii="Arial" w:hAnsi="Arial" w:cs="Arial"/>
          <w:noProof/>
          <w:color w:val="auto"/>
          <w:sz w:val="24"/>
          <w:szCs w:val="24"/>
        </w:rPr>
        <w:t>1</w:t>
      </w:r>
      <w:r w:rsidRPr="00242DFB">
        <w:rPr>
          <w:rFonts w:ascii="Arial" w:hAnsi="Arial" w:cs="Arial"/>
          <w:color w:val="auto"/>
          <w:sz w:val="24"/>
          <w:szCs w:val="24"/>
        </w:rPr>
        <w:fldChar w:fldCharType="end"/>
      </w:r>
      <w:r w:rsidRPr="00242DFB">
        <w:rPr>
          <w:rFonts w:ascii="Arial" w:hAnsi="Arial" w:cs="Arial"/>
          <w:color w:val="auto"/>
          <w:sz w:val="24"/>
          <w:szCs w:val="24"/>
        </w:rPr>
        <w:t>. Estado del aseguramiento población de Bogotá, 2025</w:t>
      </w:r>
    </w:p>
    <w:tbl>
      <w:tblPr>
        <w:tblStyle w:val="Tablaconcuadrcula"/>
        <w:tblW w:w="8864" w:type="dxa"/>
        <w:tblLook w:val="04A0" w:firstRow="1" w:lastRow="0" w:firstColumn="1" w:lastColumn="0" w:noHBand="0" w:noVBand="1"/>
      </w:tblPr>
      <w:tblGrid>
        <w:gridCol w:w="4050"/>
        <w:gridCol w:w="1774"/>
        <w:gridCol w:w="3040"/>
      </w:tblGrid>
      <w:tr w:rsidR="0089421B" w:rsidRPr="00242DFB" w14:paraId="76DAE614" w14:textId="77777777" w:rsidTr="00FA24A6">
        <w:trPr>
          <w:trHeight w:val="621"/>
          <w:tblHeader/>
        </w:trPr>
        <w:tc>
          <w:tcPr>
            <w:tcW w:w="4050" w:type="dxa"/>
            <w:noWrap/>
            <w:vAlign w:val="center"/>
            <w:hideMark/>
          </w:tcPr>
          <w:p w14:paraId="3D8ABA10" w14:textId="77777777" w:rsidR="0089421B" w:rsidRPr="00242DFB" w:rsidRDefault="0089421B" w:rsidP="00FA24A6">
            <w:pPr>
              <w:spacing w:line="360" w:lineRule="auto"/>
              <w:jc w:val="center"/>
              <w:rPr>
                <w:rFonts w:ascii="Arial" w:hAnsi="Arial" w:cs="Arial"/>
                <w:b/>
                <w:bCs/>
                <w:sz w:val="22"/>
                <w:szCs w:val="22"/>
                <w:lang w:eastAsia="es-CO"/>
              </w:rPr>
            </w:pPr>
            <w:r w:rsidRPr="00242DFB">
              <w:rPr>
                <w:rFonts w:ascii="Arial" w:hAnsi="Arial" w:cs="Arial"/>
                <w:b/>
                <w:bCs/>
                <w:sz w:val="22"/>
                <w:szCs w:val="22"/>
                <w:lang w:eastAsia="es-CO"/>
              </w:rPr>
              <w:t>Afiliados por Régimen</w:t>
            </w:r>
          </w:p>
        </w:tc>
        <w:tc>
          <w:tcPr>
            <w:tcW w:w="1774" w:type="dxa"/>
            <w:noWrap/>
            <w:vAlign w:val="center"/>
            <w:hideMark/>
          </w:tcPr>
          <w:p w14:paraId="0E10C285" w14:textId="77777777" w:rsidR="0089421B" w:rsidRPr="00242DFB" w:rsidRDefault="0089421B" w:rsidP="00FA24A6">
            <w:pPr>
              <w:spacing w:line="360" w:lineRule="auto"/>
              <w:jc w:val="center"/>
              <w:rPr>
                <w:rFonts w:ascii="Arial" w:hAnsi="Arial" w:cs="Arial"/>
                <w:b/>
                <w:bCs/>
                <w:sz w:val="22"/>
                <w:szCs w:val="22"/>
                <w:lang w:eastAsia="es-CO"/>
              </w:rPr>
            </w:pPr>
            <w:r w:rsidRPr="00242DFB">
              <w:rPr>
                <w:rFonts w:ascii="Arial" w:hAnsi="Arial" w:cs="Arial"/>
                <w:b/>
                <w:bCs/>
                <w:sz w:val="22"/>
                <w:szCs w:val="22"/>
                <w:lang w:eastAsia="es-CO"/>
              </w:rPr>
              <w:t>Cantidad</w:t>
            </w:r>
          </w:p>
        </w:tc>
        <w:tc>
          <w:tcPr>
            <w:tcW w:w="3040" w:type="dxa"/>
            <w:vAlign w:val="center"/>
            <w:hideMark/>
          </w:tcPr>
          <w:p w14:paraId="34031F77" w14:textId="77777777" w:rsidR="0089421B" w:rsidRPr="00242DFB" w:rsidRDefault="0089421B" w:rsidP="00FA24A6">
            <w:pPr>
              <w:spacing w:line="360" w:lineRule="auto"/>
              <w:jc w:val="center"/>
              <w:rPr>
                <w:rFonts w:ascii="Arial" w:hAnsi="Arial" w:cs="Arial"/>
                <w:b/>
                <w:bCs/>
                <w:sz w:val="22"/>
                <w:szCs w:val="22"/>
                <w:lang w:eastAsia="es-CO"/>
              </w:rPr>
            </w:pPr>
            <w:r w:rsidRPr="00242DFB">
              <w:rPr>
                <w:rFonts w:ascii="Arial" w:hAnsi="Arial" w:cs="Arial"/>
                <w:b/>
                <w:bCs/>
                <w:sz w:val="22"/>
                <w:szCs w:val="22"/>
                <w:lang w:eastAsia="es-CO"/>
              </w:rPr>
              <w:t>% de Población del Total de afiliados</w:t>
            </w:r>
          </w:p>
        </w:tc>
      </w:tr>
      <w:tr w:rsidR="0089421B" w:rsidRPr="00242DFB" w14:paraId="73BF6622" w14:textId="77777777" w:rsidTr="00FA24A6">
        <w:trPr>
          <w:trHeight w:val="223"/>
        </w:trPr>
        <w:tc>
          <w:tcPr>
            <w:tcW w:w="4050" w:type="dxa"/>
            <w:noWrap/>
            <w:hideMark/>
          </w:tcPr>
          <w:p w14:paraId="46B982E7" w14:textId="77777777" w:rsidR="0089421B" w:rsidRPr="00242DFB" w:rsidRDefault="0089421B" w:rsidP="00FA24A6">
            <w:pPr>
              <w:spacing w:line="360" w:lineRule="auto"/>
              <w:rPr>
                <w:rFonts w:ascii="Arial" w:hAnsi="Arial" w:cs="Arial"/>
                <w:sz w:val="22"/>
                <w:szCs w:val="22"/>
                <w:lang w:eastAsia="es-CO"/>
              </w:rPr>
            </w:pPr>
            <w:r w:rsidRPr="00242DFB">
              <w:rPr>
                <w:rFonts w:ascii="Arial" w:hAnsi="Arial" w:cs="Arial"/>
                <w:sz w:val="22"/>
                <w:szCs w:val="22"/>
                <w:lang w:eastAsia="es-CO"/>
              </w:rPr>
              <w:t>Régimen Contributivo</w:t>
            </w:r>
          </w:p>
        </w:tc>
        <w:tc>
          <w:tcPr>
            <w:tcW w:w="1774" w:type="dxa"/>
            <w:noWrap/>
          </w:tcPr>
          <w:p w14:paraId="55DFB8A6" w14:textId="77777777" w:rsidR="0089421B" w:rsidRPr="00242DFB" w:rsidRDefault="0089421B" w:rsidP="00FA24A6">
            <w:pPr>
              <w:spacing w:line="360" w:lineRule="auto"/>
              <w:jc w:val="right"/>
              <w:rPr>
                <w:rFonts w:ascii="Arial" w:hAnsi="Arial" w:cs="Arial"/>
                <w:sz w:val="22"/>
                <w:szCs w:val="22"/>
                <w:lang w:eastAsia="es-CO"/>
              </w:rPr>
            </w:pPr>
            <w:r w:rsidRPr="00242DFB">
              <w:rPr>
                <w:rFonts w:ascii="Arial" w:hAnsi="Arial" w:cs="Arial"/>
                <w:sz w:val="22"/>
                <w:szCs w:val="22"/>
                <w:lang w:eastAsia="es-CO"/>
              </w:rPr>
              <w:t>6.026.881</w:t>
            </w:r>
          </w:p>
        </w:tc>
        <w:tc>
          <w:tcPr>
            <w:tcW w:w="3040" w:type="dxa"/>
            <w:noWrap/>
          </w:tcPr>
          <w:p w14:paraId="02BBA541" w14:textId="77777777" w:rsidR="0089421B" w:rsidRPr="00242DFB" w:rsidRDefault="0089421B" w:rsidP="00FA24A6">
            <w:pPr>
              <w:spacing w:line="360" w:lineRule="auto"/>
              <w:jc w:val="right"/>
              <w:rPr>
                <w:rFonts w:ascii="Arial" w:hAnsi="Arial" w:cs="Arial"/>
                <w:sz w:val="22"/>
                <w:szCs w:val="22"/>
                <w:lang w:eastAsia="es-CO"/>
              </w:rPr>
            </w:pPr>
            <w:r w:rsidRPr="00242DFB">
              <w:rPr>
                <w:rFonts w:ascii="Arial" w:hAnsi="Arial" w:cs="Arial"/>
                <w:sz w:val="22"/>
                <w:szCs w:val="22"/>
                <w:lang w:eastAsia="es-CO"/>
              </w:rPr>
              <w:t>75,9%</w:t>
            </w:r>
          </w:p>
        </w:tc>
      </w:tr>
      <w:tr w:rsidR="0089421B" w:rsidRPr="00242DFB" w14:paraId="290F78BA" w14:textId="77777777" w:rsidTr="00FA24A6">
        <w:trPr>
          <w:trHeight w:val="138"/>
        </w:trPr>
        <w:tc>
          <w:tcPr>
            <w:tcW w:w="4050" w:type="dxa"/>
            <w:noWrap/>
            <w:hideMark/>
          </w:tcPr>
          <w:p w14:paraId="10BE170D" w14:textId="77777777" w:rsidR="0089421B" w:rsidRPr="00242DFB" w:rsidRDefault="0089421B" w:rsidP="00FA24A6">
            <w:pPr>
              <w:spacing w:line="360" w:lineRule="auto"/>
              <w:rPr>
                <w:rFonts w:ascii="Arial" w:hAnsi="Arial" w:cs="Arial"/>
                <w:sz w:val="22"/>
                <w:szCs w:val="22"/>
                <w:lang w:eastAsia="es-CO"/>
              </w:rPr>
            </w:pPr>
            <w:r w:rsidRPr="00242DFB">
              <w:rPr>
                <w:rFonts w:ascii="Arial" w:hAnsi="Arial" w:cs="Arial"/>
                <w:sz w:val="22"/>
                <w:szCs w:val="22"/>
                <w:lang w:eastAsia="es-CO"/>
              </w:rPr>
              <w:t>Régimen Subsidiado</w:t>
            </w:r>
          </w:p>
        </w:tc>
        <w:tc>
          <w:tcPr>
            <w:tcW w:w="1774" w:type="dxa"/>
            <w:noWrap/>
          </w:tcPr>
          <w:p w14:paraId="6786F91B" w14:textId="77777777" w:rsidR="0089421B" w:rsidRPr="00242DFB" w:rsidRDefault="0089421B" w:rsidP="00FA24A6">
            <w:pPr>
              <w:spacing w:line="360" w:lineRule="auto"/>
              <w:jc w:val="right"/>
              <w:rPr>
                <w:rFonts w:ascii="Arial" w:hAnsi="Arial" w:cs="Arial"/>
                <w:sz w:val="22"/>
                <w:szCs w:val="22"/>
                <w:lang w:eastAsia="es-CO"/>
              </w:rPr>
            </w:pPr>
            <w:r w:rsidRPr="00242DFB">
              <w:rPr>
                <w:rFonts w:ascii="Arial" w:hAnsi="Arial" w:cs="Arial"/>
                <w:sz w:val="22"/>
                <w:szCs w:val="22"/>
                <w:lang w:eastAsia="es-CO"/>
              </w:rPr>
              <w:t>1.744.899</w:t>
            </w:r>
          </w:p>
        </w:tc>
        <w:tc>
          <w:tcPr>
            <w:tcW w:w="3040" w:type="dxa"/>
            <w:noWrap/>
          </w:tcPr>
          <w:p w14:paraId="400F612B" w14:textId="77777777" w:rsidR="0089421B" w:rsidRPr="00242DFB" w:rsidRDefault="0089421B" w:rsidP="00FA24A6">
            <w:pPr>
              <w:spacing w:line="360" w:lineRule="auto"/>
              <w:jc w:val="right"/>
              <w:rPr>
                <w:rFonts w:ascii="Arial" w:hAnsi="Arial" w:cs="Arial"/>
                <w:sz w:val="22"/>
                <w:szCs w:val="22"/>
                <w:lang w:eastAsia="es-CO"/>
              </w:rPr>
            </w:pPr>
            <w:r w:rsidRPr="00242DFB">
              <w:rPr>
                <w:rFonts w:ascii="Arial" w:hAnsi="Arial" w:cs="Arial"/>
                <w:sz w:val="22"/>
                <w:szCs w:val="22"/>
                <w:lang w:eastAsia="es-CO"/>
              </w:rPr>
              <w:t>22,0%</w:t>
            </w:r>
          </w:p>
        </w:tc>
      </w:tr>
      <w:tr w:rsidR="0089421B" w:rsidRPr="00242DFB" w14:paraId="4FB9858B" w14:textId="77777777" w:rsidTr="00FA24A6">
        <w:trPr>
          <w:trHeight w:val="83"/>
        </w:trPr>
        <w:tc>
          <w:tcPr>
            <w:tcW w:w="4050" w:type="dxa"/>
            <w:noWrap/>
            <w:hideMark/>
          </w:tcPr>
          <w:p w14:paraId="519743B2" w14:textId="77777777" w:rsidR="0089421B" w:rsidRPr="00242DFB" w:rsidRDefault="0089421B" w:rsidP="00FA24A6">
            <w:pPr>
              <w:spacing w:line="360" w:lineRule="auto"/>
              <w:rPr>
                <w:rFonts w:ascii="Arial" w:hAnsi="Arial" w:cs="Arial"/>
                <w:sz w:val="22"/>
                <w:szCs w:val="22"/>
                <w:lang w:eastAsia="es-CO"/>
              </w:rPr>
            </w:pPr>
            <w:r w:rsidRPr="00242DFB">
              <w:rPr>
                <w:rFonts w:ascii="Arial" w:hAnsi="Arial" w:cs="Arial"/>
                <w:sz w:val="22"/>
                <w:szCs w:val="22"/>
                <w:lang w:eastAsia="es-CO"/>
              </w:rPr>
              <w:t>Regímenes de Excepción (estimado)</w:t>
            </w:r>
          </w:p>
        </w:tc>
        <w:tc>
          <w:tcPr>
            <w:tcW w:w="1774" w:type="dxa"/>
            <w:noWrap/>
          </w:tcPr>
          <w:p w14:paraId="330CF27C" w14:textId="77777777" w:rsidR="0089421B" w:rsidRPr="00242DFB" w:rsidRDefault="0089421B" w:rsidP="00FA24A6">
            <w:pPr>
              <w:spacing w:line="360" w:lineRule="auto"/>
              <w:jc w:val="right"/>
              <w:rPr>
                <w:rFonts w:ascii="Arial" w:hAnsi="Arial" w:cs="Arial"/>
                <w:sz w:val="22"/>
                <w:szCs w:val="22"/>
                <w:lang w:eastAsia="es-CO"/>
              </w:rPr>
            </w:pPr>
            <w:r w:rsidRPr="00242DFB">
              <w:rPr>
                <w:rFonts w:ascii="Arial" w:hAnsi="Arial" w:cs="Arial"/>
                <w:sz w:val="22"/>
                <w:szCs w:val="22"/>
                <w:lang w:eastAsia="es-CO"/>
              </w:rPr>
              <w:t>249.800</w:t>
            </w:r>
          </w:p>
        </w:tc>
        <w:tc>
          <w:tcPr>
            <w:tcW w:w="3040" w:type="dxa"/>
            <w:noWrap/>
          </w:tcPr>
          <w:p w14:paraId="12BF4B54" w14:textId="77777777" w:rsidR="0089421B" w:rsidRPr="00242DFB" w:rsidRDefault="0089421B" w:rsidP="00FA24A6">
            <w:pPr>
              <w:spacing w:line="360" w:lineRule="auto"/>
              <w:jc w:val="right"/>
              <w:rPr>
                <w:rFonts w:ascii="Arial" w:hAnsi="Arial" w:cs="Arial"/>
                <w:sz w:val="22"/>
                <w:szCs w:val="22"/>
                <w:lang w:eastAsia="es-CO"/>
              </w:rPr>
            </w:pPr>
            <w:r w:rsidRPr="00242DFB">
              <w:rPr>
                <w:rFonts w:ascii="Arial" w:hAnsi="Arial" w:cs="Arial"/>
                <w:sz w:val="22"/>
                <w:szCs w:val="22"/>
                <w:lang w:eastAsia="es-CO"/>
              </w:rPr>
              <w:t>3,1%</w:t>
            </w:r>
          </w:p>
        </w:tc>
      </w:tr>
      <w:tr w:rsidR="0089421B" w:rsidRPr="00242DFB" w14:paraId="1AC4A518" w14:textId="77777777" w:rsidTr="00FA24A6">
        <w:trPr>
          <w:trHeight w:val="72"/>
        </w:trPr>
        <w:tc>
          <w:tcPr>
            <w:tcW w:w="4050" w:type="dxa"/>
            <w:noWrap/>
            <w:hideMark/>
          </w:tcPr>
          <w:p w14:paraId="1B450FE6" w14:textId="77777777" w:rsidR="0089421B" w:rsidRPr="00242DFB" w:rsidRDefault="0089421B" w:rsidP="00FA24A6">
            <w:pPr>
              <w:spacing w:line="360" w:lineRule="auto"/>
              <w:rPr>
                <w:rFonts w:ascii="Arial" w:hAnsi="Arial" w:cs="Arial"/>
                <w:b/>
                <w:bCs/>
                <w:sz w:val="22"/>
                <w:szCs w:val="22"/>
                <w:lang w:eastAsia="es-CO"/>
              </w:rPr>
            </w:pPr>
            <w:r w:rsidRPr="00242DFB">
              <w:rPr>
                <w:rFonts w:ascii="Arial" w:hAnsi="Arial" w:cs="Arial"/>
                <w:b/>
                <w:bCs/>
                <w:sz w:val="22"/>
                <w:szCs w:val="22"/>
                <w:lang w:eastAsia="es-CO"/>
              </w:rPr>
              <w:t>Total, de afiliados</w:t>
            </w:r>
          </w:p>
        </w:tc>
        <w:tc>
          <w:tcPr>
            <w:tcW w:w="1774" w:type="dxa"/>
            <w:noWrap/>
          </w:tcPr>
          <w:p w14:paraId="437F9B55" w14:textId="77777777" w:rsidR="0089421B" w:rsidRPr="00242DFB" w:rsidRDefault="0089421B" w:rsidP="00FA24A6">
            <w:pPr>
              <w:spacing w:line="360" w:lineRule="auto"/>
              <w:jc w:val="right"/>
              <w:rPr>
                <w:rFonts w:ascii="Arial" w:hAnsi="Arial" w:cs="Arial"/>
                <w:b/>
                <w:bCs/>
                <w:sz w:val="22"/>
                <w:szCs w:val="22"/>
                <w:lang w:eastAsia="es-CO"/>
              </w:rPr>
            </w:pPr>
            <w:r w:rsidRPr="00242DFB">
              <w:rPr>
                <w:rFonts w:ascii="Arial" w:hAnsi="Arial" w:cs="Arial"/>
                <w:b/>
                <w:bCs/>
                <w:sz w:val="22"/>
                <w:szCs w:val="22"/>
                <w:lang w:eastAsia="es-CO"/>
              </w:rPr>
              <w:t>8.021.580</w:t>
            </w:r>
            <w:r w:rsidRPr="00242DFB">
              <w:rPr>
                <w:rStyle w:val="Refdenotaalpie"/>
                <w:rFonts w:ascii="Arial" w:hAnsi="Arial" w:cs="Arial"/>
                <w:b/>
                <w:bCs/>
                <w:sz w:val="22"/>
                <w:szCs w:val="22"/>
                <w:lang w:eastAsia="es-CO"/>
              </w:rPr>
              <w:footnoteReference w:id="2"/>
            </w:r>
          </w:p>
        </w:tc>
        <w:tc>
          <w:tcPr>
            <w:tcW w:w="3040" w:type="dxa"/>
            <w:noWrap/>
          </w:tcPr>
          <w:p w14:paraId="1176EF3D" w14:textId="77777777" w:rsidR="0089421B" w:rsidRPr="00242DFB" w:rsidRDefault="0089421B" w:rsidP="00FA24A6">
            <w:pPr>
              <w:spacing w:line="360" w:lineRule="auto"/>
              <w:jc w:val="right"/>
              <w:rPr>
                <w:rFonts w:ascii="Arial" w:hAnsi="Arial" w:cs="Arial"/>
                <w:b/>
                <w:bCs/>
                <w:sz w:val="22"/>
                <w:szCs w:val="22"/>
                <w:lang w:eastAsia="es-CO"/>
              </w:rPr>
            </w:pPr>
            <w:r w:rsidRPr="00242DFB">
              <w:rPr>
                <w:rFonts w:ascii="Arial" w:hAnsi="Arial" w:cs="Arial"/>
                <w:b/>
                <w:bCs/>
                <w:sz w:val="22"/>
                <w:szCs w:val="22"/>
                <w:lang w:eastAsia="es-CO"/>
              </w:rPr>
              <w:t>100%</w:t>
            </w:r>
          </w:p>
        </w:tc>
      </w:tr>
    </w:tbl>
    <w:p w14:paraId="04FE4A76" w14:textId="77777777" w:rsidR="0089421B" w:rsidRPr="00242DFB" w:rsidRDefault="0089421B" w:rsidP="0089421B">
      <w:pPr>
        <w:spacing w:line="360" w:lineRule="auto"/>
        <w:jc w:val="both"/>
        <w:rPr>
          <w:rFonts w:ascii="Arial" w:hAnsi="Arial" w:cs="Arial"/>
          <w:sz w:val="16"/>
          <w:szCs w:val="16"/>
        </w:rPr>
      </w:pPr>
      <w:r w:rsidRPr="00242DFB">
        <w:rPr>
          <w:rFonts w:ascii="Arial" w:eastAsia="Arial" w:hAnsi="Arial" w:cs="Arial"/>
          <w:sz w:val="16"/>
          <w:szCs w:val="16"/>
        </w:rPr>
        <w:t xml:space="preserve">Fuente:  </w:t>
      </w:r>
      <w:r w:rsidRPr="00242DFB">
        <w:rPr>
          <w:rFonts w:ascii="Arial" w:hAnsi="Arial" w:cs="Arial"/>
          <w:sz w:val="16"/>
          <w:szCs w:val="16"/>
        </w:rPr>
        <w:t>* Contributivo BDUA - ADRES, corte a 31 de diciembre de 2025.  * Subsidiado BDUA - ADRES, corte a 31 de diciembre de 2025. * Proyección censo DANE, actualización post Covid-19. * Reporte EAPB exceptuadas, diciembre 2025</w:t>
      </w:r>
    </w:p>
    <w:p w14:paraId="2A7B41F2" w14:textId="77777777" w:rsidR="0089421B" w:rsidRPr="00242DFB" w:rsidRDefault="0089421B" w:rsidP="0089421B">
      <w:pPr>
        <w:spacing w:line="360" w:lineRule="auto"/>
        <w:jc w:val="both"/>
        <w:rPr>
          <w:rFonts w:ascii="Arial" w:eastAsia="Arial" w:hAnsi="Arial" w:cs="Arial"/>
          <w:sz w:val="22"/>
          <w:szCs w:val="22"/>
        </w:rPr>
      </w:pPr>
    </w:p>
    <w:p w14:paraId="1C14ED8B" w14:textId="77777777" w:rsidR="009F762E" w:rsidRPr="00242DFB" w:rsidRDefault="00000000" w:rsidP="002A0E52">
      <w:pPr>
        <w:spacing w:line="360" w:lineRule="auto"/>
        <w:ind w:firstLine="709"/>
        <w:jc w:val="both"/>
        <w:rPr>
          <w:rFonts w:ascii="Arial" w:hAnsi="Arial" w:cs="Arial"/>
          <w:color w:val="000000" w:themeColor="text1"/>
        </w:rPr>
      </w:pPr>
      <w:r w:rsidRPr="00242DFB">
        <w:rPr>
          <w:rFonts w:ascii="Arial" w:eastAsia="Arial" w:hAnsi="Arial" w:cs="Arial"/>
          <w:color w:val="000000"/>
        </w:rPr>
        <w:t xml:space="preserve"> </w:t>
      </w:r>
    </w:p>
    <w:p w14:paraId="69E9BD84"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El aseguramiento en Bogotá se concentra principalmente en el régimen contributivo; sin embargo, la población afiliada a Capital Salud EPS-S presenta un perfil predominantemente subsidiado. En la tabla 1 se presenta la distribución de los afiliados de Capital Salud EPS-S en Bogotá, por régimen, para la vigencia 2025, con base en la información BDUA-ADRES utilizada en el presente informe.</w:t>
      </w:r>
    </w:p>
    <w:p w14:paraId="0FAE5DB9" w14:textId="5EF67EC4" w:rsidR="009F762E" w:rsidRPr="00242DFB" w:rsidRDefault="00000000" w:rsidP="002A0E52">
      <w:pPr>
        <w:pStyle w:val="Descripcin"/>
        <w:keepNext/>
        <w:spacing w:after="0" w:line="360" w:lineRule="auto"/>
        <w:jc w:val="center"/>
        <w:rPr>
          <w:rFonts w:ascii="Arial" w:hAnsi="Arial" w:cs="Arial"/>
          <w:color w:val="000000" w:themeColor="text1"/>
          <w:sz w:val="24"/>
          <w:szCs w:val="24"/>
        </w:rPr>
      </w:pPr>
      <w:r w:rsidRPr="00242DFB">
        <w:rPr>
          <w:rFonts w:ascii="Arial" w:hAnsi="Arial" w:cs="Arial"/>
          <w:color w:val="000000"/>
          <w:sz w:val="24"/>
          <w:szCs w:val="24"/>
        </w:rPr>
        <w:t xml:space="preserve"> </w:t>
      </w:r>
    </w:p>
    <w:p w14:paraId="53B3B9F6" w14:textId="2FCC4CCE" w:rsidR="0089421B" w:rsidRPr="00242DFB" w:rsidRDefault="0089421B" w:rsidP="0089421B">
      <w:pPr>
        <w:pStyle w:val="Descripcin"/>
        <w:keepNext/>
        <w:jc w:val="center"/>
        <w:rPr>
          <w:rFonts w:ascii="Arial" w:hAnsi="Arial" w:cs="Arial"/>
          <w:color w:val="auto"/>
          <w:sz w:val="24"/>
          <w:szCs w:val="24"/>
        </w:rPr>
      </w:pPr>
      <w:r w:rsidRPr="00242DFB">
        <w:rPr>
          <w:rFonts w:ascii="Arial" w:hAnsi="Arial" w:cs="Arial"/>
          <w:color w:val="auto"/>
          <w:sz w:val="24"/>
          <w:szCs w:val="24"/>
        </w:rPr>
        <w:t xml:space="preserve">Tabla </w:t>
      </w:r>
      <w:r w:rsidRPr="00242DFB">
        <w:rPr>
          <w:rFonts w:ascii="Arial" w:hAnsi="Arial" w:cs="Arial"/>
          <w:color w:val="auto"/>
          <w:sz w:val="24"/>
          <w:szCs w:val="24"/>
        </w:rPr>
        <w:fldChar w:fldCharType="begin"/>
      </w:r>
      <w:r w:rsidRPr="00242DFB">
        <w:rPr>
          <w:rFonts w:ascii="Arial" w:hAnsi="Arial" w:cs="Arial"/>
          <w:color w:val="auto"/>
          <w:sz w:val="24"/>
          <w:szCs w:val="24"/>
        </w:rPr>
        <w:instrText xml:space="preserve"> SEQ Tabla \* ARABIC </w:instrText>
      </w:r>
      <w:r w:rsidRPr="00242DFB">
        <w:rPr>
          <w:rFonts w:ascii="Arial" w:hAnsi="Arial" w:cs="Arial"/>
          <w:color w:val="auto"/>
          <w:sz w:val="24"/>
          <w:szCs w:val="24"/>
        </w:rPr>
        <w:fldChar w:fldCharType="separate"/>
      </w:r>
      <w:r w:rsidR="00B1210D">
        <w:rPr>
          <w:rFonts w:ascii="Arial" w:hAnsi="Arial" w:cs="Arial"/>
          <w:noProof/>
          <w:color w:val="auto"/>
          <w:sz w:val="24"/>
          <w:szCs w:val="24"/>
        </w:rPr>
        <w:t>2</w:t>
      </w:r>
      <w:r w:rsidRPr="00242DFB">
        <w:rPr>
          <w:rFonts w:ascii="Arial" w:hAnsi="Arial" w:cs="Arial"/>
          <w:color w:val="auto"/>
          <w:sz w:val="24"/>
          <w:szCs w:val="24"/>
        </w:rPr>
        <w:fldChar w:fldCharType="end"/>
      </w:r>
      <w:r w:rsidRPr="00242DFB">
        <w:rPr>
          <w:rFonts w:ascii="Arial" w:hAnsi="Arial" w:cs="Arial"/>
          <w:color w:val="auto"/>
          <w:sz w:val="24"/>
          <w:szCs w:val="24"/>
        </w:rPr>
        <w:t>. Distribución de afiliados de Capital Salud EPS-S en Bogotá por régimen, 2025</w:t>
      </w:r>
    </w:p>
    <w:tbl>
      <w:tblPr>
        <w:tblW w:w="8238" w:type="dxa"/>
        <w:jc w:val="center"/>
        <w:tblLayout w:type="fixed"/>
        <w:tblCellMar>
          <w:top w:w="15" w:type="dxa"/>
          <w:left w:w="15" w:type="dxa"/>
          <w:right w:w="15" w:type="dxa"/>
        </w:tblCellMar>
        <w:tblLook w:val="06A0" w:firstRow="1" w:lastRow="0" w:firstColumn="1" w:lastColumn="0" w:noHBand="1" w:noVBand="1"/>
      </w:tblPr>
      <w:tblGrid>
        <w:gridCol w:w="3700"/>
        <w:gridCol w:w="1635"/>
        <w:gridCol w:w="2903"/>
      </w:tblGrid>
      <w:tr w:rsidR="009F762E" w:rsidRPr="00242DFB" w14:paraId="11AD0B6A" w14:textId="77777777" w:rsidTr="00487B6D">
        <w:trPr>
          <w:cantSplit/>
          <w:trHeight w:val="384"/>
          <w:jc w:val="center"/>
        </w:trPr>
        <w:tc>
          <w:tcPr>
            <w:tcW w:w="370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F4E45B8"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rPr>
              <w:t>Afiliados Capital Salud EPS-S por régimen</w:t>
            </w:r>
          </w:p>
        </w:tc>
        <w:tc>
          <w:tcPr>
            <w:tcW w:w="163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8D57091"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rPr>
              <w:t>Cantidad</w:t>
            </w:r>
          </w:p>
        </w:tc>
        <w:tc>
          <w:tcPr>
            <w:tcW w:w="290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F4C6AE0"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rPr>
              <w:t>% sobre total Capital Salud EPS-S Bogotá</w:t>
            </w:r>
          </w:p>
        </w:tc>
      </w:tr>
      <w:tr w:rsidR="009F762E" w:rsidRPr="00242DFB" w14:paraId="7B86234D" w14:textId="77777777" w:rsidTr="00487B6D">
        <w:trPr>
          <w:cantSplit/>
          <w:trHeight w:val="31"/>
          <w:jc w:val="center"/>
        </w:trPr>
        <w:tc>
          <w:tcPr>
            <w:tcW w:w="370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69B9489"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Régimen Contributivo</w:t>
            </w:r>
          </w:p>
        </w:tc>
        <w:tc>
          <w:tcPr>
            <w:tcW w:w="163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99E1A00"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color w:val="000000" w:themeColor="text1"/>
              </w:rPr>
              <w:t>61.961</w:t>
            </w:r>
          </w:p>
        </w:tc>
        <w:tc>
          <w:tcPr>
            <w:tcW w:w="290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1581764"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color w:val="000000" w:themeColor="text1"/>
              </w:rPr>
              <w:t>6,88%</w:t>
            </w:r>
          </w:p>
        </w:tc>
      </w:tr>
      <w:tr w:rsidR="009F762E" w:rsidRPr="00242DFB" w14:paraId="5D95866E" w14:textId="77777777" w:rsidTr="00487B6D">
        <w:trPr>
          <w:cantSplit/>
          <w:trHeight w:val="31"/>
          <w:jc w:val="center"/>
        </w:trPr>
        <w:tc>
          <w:tcPr>
            <w:tcW w:w="370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4054837"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Régimen Subsidiado</w:t>
            </w:r>
          </w:p>
        </w:tc>
        <w:tc>
          <w:tcPr>
            <w:tcW w:w="163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9B060F0"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color w:val="000000" w:themeColor="text1"/>
              </w:rPr>
              <w:t>838.191</w:t>
            </w:r>
          </w:p>
        </w:tc>
        <w:tc>
          <w:tcPr>
            <w:tcW w:w="290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E83B3CD"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color w:val="000000" w:themeColor="text1"/>
              </w:rPr>
              <w:t>93,12%</w:t>
            </w:r>
          </w:p>
        </w:tc>
      </w:tr>
      <w:tr w:rsidR="009F762E" w:rsidRPr="00242DFB" w14:paraId="03D1A807" w14:textId="77777777" w:rsidTr="00487B6D">
        <w:trPr>
          <w:cantSplit/>
          <w:trHeight w:val="31"/>
          <w:jc w:val="center"/>
        </w:trPr>
        <w:tc>
          <w:tcPr>
            <w:tcW w:w="370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C530453" w14:textId="184E7EDB" w:rsidR="009F762E" w:rsidRPr="00242DFB" w:rsidRDefault="00487B6D" w:rsidP="002A0E52">
            <w:pPr>
              <w:spacing w:line="360" w:lineRule="auto"/>
              <w:rPr>
                <w:rFonts w:ascii="Arial" w:hAnsi="Arial" w:cs="Arial"/>
                <w:color w:val="000000" w:themeColor="text1"/>
              </w:rPr>
            </w:pPr>
            <w:r w:rsidRPr="00242DFB">
              <w:rPr>
                <w:rFonts w:ascii="Arial" w:eastAsia="Arial" w:hAnsi="Arial" w:cs="Arial"/>
                <w:b/>
                <w:bCs/>
                <w:color w:val="000000" w:themeColor="text1"/>
              </w:rPr>
              <w:t>Total,</w:t>
            </w:r>
            <w:r w:rsidR="00000000" w:rsidRPr="00242DFB">
              <w:rPr>
                <w:rFonts w:ascii="Arial" w:eastAsia="Arial" w:hAnsi="Arial" w:cs="Arial"/>
                <w:b/>
                <w:bCs/>
                <w:color w:val="000000" w:themeColor="text1"/>
              </w:rPr>
              <w:t xml:space="preserve"> afiliados Capital Salud EPS-S Bogotá</w:t>
            </w:r>
          </w:p>
        </w:tc>
        <w:tc>
          <w:tcPr>
            <w:tcW w:w="163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7D9C03E"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b/>
                <w:bCs/>
                <w:color w:val="000000" w:themeColor="text1"/>
              </w:rPr>
              <w:t>900.152</w:t>
            </w:r>
          </w:p>
        </w:tc>
        <w:tc>
          <w:tcPr>
            <w:tcW w:w="290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7B0C710"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b/>
                <w:bCs/>
                <w:color w:val="000000" w:themeColor="text1"/>
              </w:rPr>
              <w:t>100%</w:t>
            </w:r>
          </w:p>
        </w:tc>
      </w:tr>
    </w:tbl>
    <w:p w14:paraId="1D27C7A6" w14:textId="156FB768" w:rsidR="009F762E" w:rsidRPr="00242DFB" w:rsidRDefault="00000000" w:rsidP="002A0E52">
      <w:pPr>
        <w:spacing w:line="360" w:lineRule="auto"/>
        <w:jc w:val="both"/>
        <w:rPr>
          <w:rFonts w:ascii="Arial" w:hAnsi="Arial" w:cs="Arial"/>
          <w:color w:val="000000" w:themeColor="text1"/>
          <w:sz w:val="16"/>
          <w:szCs w:val="16"/>
        </w:rPr>
      </w:pPr>
      <w:r w:rsidRPr="00242DFB">
        <w:rPr>
          <w:rFonts w:ascii="Arial" w:hAnsi="Arial" w:cs="Arial"/>
          <w:color w:val="000000"/>
          <w:sz w:val="16"/>
          <w:szCs w:val="16"/>
        </w:rPr>
        <w:t>Fuente: * Contributivo BDUA - ADRES, corte a 31 de diciembre de 2025. * Subsidiado BDUA - ADRES, corte a 31 de diciembre de 2025. * Proyección censo DANE, actualización post COVID-19. * Reporte EAPB exceptuadas, diciembre 2025</w:t>
      </w:r>
    </w:p>
    <w:p w14:paraId="1A22DA23" w14:textId="77777777" w:rsidR="009F762E" w:rsidRPr="00242DFB" w:rsidRDefault="009F762E" w:rsidP="002A0E52">
      <w:pPr>
        <w:spacing w:line="360" w:lineRule="auto"/>
        <w:rPr>
          <w:rFonts w:ascii="Arial" w:hAnsi="Arial" w:cs="Arial"/>
          <w:color w:val="000000" w:themeColor="text1"/>
        </w:rPr>
      </w:pPr>
    </w:p>
    <w:p w14:paraId="46173859"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Los afiliados de Capital Salud EPS-S en Bogotá representan el 11,3% del total, ubicándose como la quinta EPS en la ciudad, después de Sanitas, Compensar, Famisanar y Salud Total. En la tabla 2, se puede ver la relación del número de afiliados en Bogotá discriminado por EPS en 2025.</w:t>
      </w:r>
    </w:p>
    <w:p w14:paraId="494468EF" w14:textId="3285B46B" w:rsidR="009F762E" w:rsidRPr="00242DFB" w:rsidRDefault="009F762E" w:rsidP="002A0E52">
      <w:pPr>
        <w:pStyle w:val="Descripcin"/>
        <w:spacing w:after="0" w:line="360" w:lineRule="auto"/>
        <w:jc w:val="center"/>
        <w:rPr>
          <w:rFonts w:ascii="Arial" w:hAnsi="Arial" w:cs="Arial"/>
          <w:color w:val="000000" w:themeColor="text1"/>
          <w:sz w:val="24"/>
          <w:szCs w:val="24"/>
        </w:rPr>
      </w:pPr>
    </w:p>
    <w:p w14:paraId="2BB58CD8" w14:textId="15D0CB00" w:rsidR="00C0747A" w:rsidRPr="00242DFB" w:rsidRDefault="00C0747A" w:rsidP="00C0747A">
      <w:pPr>
        <w:pStyle w:val="Descripcin"/>
        <w:keepNext/>
        <w:jc w:val="center"/>
        <w:rPr>
          <w:rFonts w:ascii="Arial" w:hAnsi="Arial" w:cs="Arial"/>
          <w:color w:val="auto"/>
        </w:rPr>
      </w:pPr>
      <w:r w:rsidRPr="00242DFB">
        <w:rPr>
          <w:rFonts w:ascii="Arial" w:hAnsi="Arial" w:cs="Arial"/>
          <w:color w:val="auto"/>
          <w:sz w:val="24"/>
          <w:szCs w:val="24"/>
        </w:rPr>
        <w:t xml:space="preserve">Tabla </w:t>
      </w:r>
      <w:r w:rsidRPr="00242DFB">
        <w:rPr>
          <w:rFonts w:ascii="Arial" w:hAnsi="Arial" w:cs="Arial"/>
          <w:color w:val="auto"/>
          <w:sz w:val="24"/>
          <w:szCs w:val="24"/>
        </w:rPr>
        <w:fldChar w:fldCharType="begin"/>
      </w:r>
      <w:r w:rsidRPr="00242DFB">
        <w:rPr>
          <w:rFonts w:ascii="Arial" w:hAnsi="Arial" w:cs="Arial"/>
          <w:color w:val="auto"/>
          <w:sz w:val="24"/>
          <w:szCs w:val="24"/>
        </w:rPr>
        <w:instrText xml:space="preserve"> SEQ Tabla \* ARABIC </w:instrText>
      </w:r>
      <w:r w:rsidRPr="00242DFB">
        <w:rPr>
          <w:rFonts w:ascii="Arial" w:hAnsi="Arial" w:cs="Arial"/>
          <w:color w:val="auto"/>
          <w:sz w:val="24"/>
          <w:szCs w:val="24"/>
        </w:rPr>
        <w:fldChar w:fldCharType="separate"/>
      </w:r>
      <w:r w:rsidR="00B1210D">
        <w:rPr>
          <w:rFonts w:ascii="Arial" w:hAnsi="Arial" w:cs="Arial"/>
          <w:noProof/>
          <w:color w:val="auto"/>
          <w:sz w:val="24"/>
          <w:szCs w:val="24"/>
        </w:rPr>
        <w:t>3</w:t>
      </w:r>
      <w:r w:rsidRPr="00242DFB">
        <w:rPr>
          <w:rFonts w:ascii="Arial" w:hAnsi="Arial" w:cs="Arial"/>
          <w:color w:val="auto"/>
          <w:sz w:val="24"/>
          <w:szCs w:val="24"/>
        </w:rPr>
        <w:fldChar w:fldCharType="end"/>
      </w:r>
      <w:r w:rsidRPr="00242DFB">
        <w:rPr>
          <w:rFonts w:ascii="Arial" w:hAnsi="Arial" w:cs="Arial"/>
          <w:color w:val="auto"/>
          <w:sz w:val="24"/>
          <w:szCs w:val="24"/>
        </w:rPr>
        <w:t>.  Afiliados en Bogotá por EPS, 2025</w:t>
      </w:r>
    </w:p>
    <w:tbl>
      <w:tblPr>
        <w:tblW w:w="9688" w:type="dxa"/>
        <w:jc w:val="center"/>
        <w:tblLayout w:type="fixed"/>
        <w:tblCellMar>
          <w:top w:w="15" w:type="dxa"/>
          <w:left w:w="15" w:type="dxa"/>
          <w:right w:w="15" w:type="dxa"/>
        </w:tblCellMar>
        <w:tblLook w:val="06A0" w:firstRow="1" w:lastRow="0" w:firstColumn="1" w:lastColumn="0" w:noHBand="1" w:noVBand="1"/>
      </w:tblPr>
      <w:tblGrid>
        <w:gridCol w:w="1833"/>
        <w:gridCol w:w="1581"/>
        <w:gridCol w:w="1447"/>
        <w:gridCol w:w="1448"/>
        <w:gridCol w:w="1317"/>
        <w:gridCol w:w="1091"/>
        <w:gridCol w:w="971"/>
      </w:tblGrid>
      <w:tr w:rsidR="009F762E" w:rsidRPr="00242DFB" w14:paraId="36CE967A" w14:textId="77777777" w:rsidTr="00C0747A">
        <w:trPr>
          <w:cantSplit/>
          <w:trHeight w:val="391"/>
          <w:tblHeader/>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607A7F1A" w14:textId="77777777" w:rsidR="009F762E" w:rsidRPr="00242DFB" w:rsidRDefault="00000000" w:rsidP="002A0E52">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Nombre entidad</w:t>
            </w:r>
          </w:p>
        </w:tc>
        <w:tc>
          <w:tcPr>
            <w:tcW w:w="1581" w:type="dxa"/>
            <w:tcBorders>
              <w:top w:val="single" w:sz="8" w:space="0" w:color="000000"/>
              <w:left w:val="single" w:sz="8" w:space="0" w:color="000000"/>
              <w:bottom w:val="single" w:sz="8" w:space="0" w:color="000000"/>
              <w:right w:val="single" w:sz="8" w:space="0" w:color="000000"/>
            </w:tcBorders>
            <w:vAlign w:val="center"/>
          </w:tcPr>
          <w:p w14:paraId="566ADFF6" w14:textId="77777777" w:rsidR="009F762E" w:rsidRPr="00242DFB" w:rsidRDefault="00000000" w:rsidP="002A0E52">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 xml:space="preserve"> Contributivos afiliados </w:t>
            </w:r>
          </w:p>
        </w:tc>
        <w:tc>
          <w:tcPr>
            <w:tcW w:w="1447" w:type="dxa"/>
            <w:tcBorders>
              <w:top w:val="single" w:sz="8" w:space="0" w:color="000000"/>
              <w:left w:val="single" w:sz="8" w:space="0" w:color="000000"/>
              <w:bottom w:val="single" w:sz="8" w:space="0" w:color="000000"/>
              <w:right w:val="single" w:sz="8" w:space="0" w:color="000000"/>
            </w:tcBorders>
            <w:vAlign w:val="center"/>
          </w:tcPr>
          <w:p w14:paraId="5D1EC033" w14:textId="77777777" w:rsidR="009F762E" w:rsidRPr="00242DFB" w:rsidRDefault="00000000" w:rsidP="002A0E52">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 xml:space="preserve">% Contributivo </w:t>
            </w:r>
          </w:p>
        </w:tc>
        <w:tc>
          <w:tcPr>
            <w:tcW w:w="1448" w:type="dxa"/>
            <w:tcBorders>
              <w:top w:val="single" w:sz="8" w:space="0" w:color="000000"/>
              <w:left w:val="single" w:sz="8" w:space="0" w:color="000000"/>
              <w:bottom w:val="single" w:sz="8" w:space="0" w:color="000000"/>
              <w:right w:val="single" w:sz="8" w:space="0" w:color="000000"/>
            </w:tcBorders>
            <w:vAlign w:val="center"/>
          </w:tcPr>
          <w:p w14:paraId="7FC04A93" w14:textId="77777777" w:rsidR="009F762E" w:rsidRPr="00242DFB" w:rsidRDefault="00000000" w:rsidP="002A0E52">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 xml:space="preserve"> Subsidiados afiliados </w:t>
            </w:r>
          </w:p>
        </w:tc>
        <w:tc>
          <w:tcPr>
            <w:tcW w:w="1317" w:type="dxa"/>
            <w:tcBorders>
              <w:top w:val="single" w:sz="8" w:space="0" w:color="000000"/>
              <w:left w:val="single" w:sz="8" w:space="0" w:color="000000"/>
              <w:bottom w:val="single" w:sz="8" w:space="0" w:color="000000"/>
              <w:right w:val="single" w:sz="8" w:space="0" w:color="000000"/>
            </w:tcBorders>
            <w:vAlign w:val="center"/>
          </w:tcPr>
          <w:p w14:paraId="0EF9F8BE" w14:textId="77777777" w:rsidR="009F762E" w:rsidRPr="00242DFB" w:rsidRDefault="00000000" w:rsidP="002A0E52">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 Subsidiado</w:t>
            </w:r>
          </w:p>
        </w:tc>
        <w:tc>
          <w:tcPr>
            <w:tcW w:w="1091" w:type="dxa"/>
            <w:tcBorders>
              <w:top w:val="single" w:sz="8" w:space="0" w:color="000000"/>
              <w:left w:val="single" w:sz="8" w:space="0" w:color="000000"/>
              <w:bottom w:val="single" w:sz="8" w:space="0" w:color="000000"/>
              <w:right w:val="single" w:sz="8" w:space="0" w:color="000000"/>
            </w:tcBorders>
            <w:vAlign w:val="center"/>
          </w:tcPr>
          <w:p w14:paraId="26C856EF" w14:textId="77777777" w:rsidR="009F762E" w:rsidRPr="00242DFB" w:rsidRDefault="00000000" w:rsidP="002A0E52">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 xml:space="preserve"> Total, afiliados </w:t>
            </w:r>
          </w:p>
        </w:tc>
        <w:tc>
          <w:tcPr>
            <w:tcW w:w="971" w:type="dxa"/>
            <w:tcBorders>
              <w:top w:val="single" w:sz="8" w:space="0" w:color="000000"/>
              <w:left w:val="single" w:sz="8" w:space="0" w:color="000000"/>
              <w:bottom w:val="single" w:sz="8" w:space="0" w:color="000000"/>
              <w:right w:val="single" w:sz="8" w:space="0" w:color="000000"/>
            </w:tcBorders>
            <w:vAlign w:val="center"/>
          </w:tcPr>
          <w:p w14:paraId="6EBBD45B" w14:textId="77777777" w:rsidR="009F762E" w:rsidRPr="00242DFB" w:rsidRDefault="00000000" w:rsidP="002A0E52">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Total %</w:t>
            </w:r>
          </w:p>
        </w:tc>
      </w:tr>
      <w:tr w:rsidR="009F762E" w:rsidRPr="00242DFB" w14:paraId="003417C6" w14:textId="77777777" w:rsidTr="00C0747A">
        <w:trPr>
          <w:cantSplit/>
          <w:trHeight w:val="210"/>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2E6FA40F" w14:textId="77777777" w:rsidR="009F762E" w:rsidRPr="00242DFB" w:rsidRDefault="00000000" w:rsidP="002A0E52">
            <w:pPr>
              <w:spacing w:line="360" w:lineRule="auto"/>
              <w:rPr>
                <w:rFonts w:ascii="Arial" w:hAnsi="Arial" w:cs="Arial"/>
                <w:color w:val="000000" w:themeColor="text1"/>
                <w:sz w:val="22"/>
                <w:szCs w:val="22"/>
              </w:rPr>
            </w:pPr>
            <w:r w:rsidRPr="00242DFB">
              <w:rPr>
                <w:rFonts w:ascii="Arial" w:eastAsia="Arial" w:hAnsi="Arial" w:cs="Arial"/>
                <w:color w:val="000000" w:themeColor="text1"/>
                <w:sz w:val="22"/>
                <w:szCs w:val="22"/>
              </w:rPr>
              <w:t>EPS Sanitas</w:t>
            </w:r>
          </w:p>
        </w:tc>
        <w:tc>
          <w:tcPr>
            <w:tcW w:w="1581" w:type="dxa"/>
            <w:tcBorders>
              <w:top w:val="single" w:sz="8" w:space="0" w:color="000000"/>
              <w:left w:val="single" w:sz="8" w:space="0" w:color="000000"/>
              <w:bottom w:val="single" w:sz="8" w:space="0" w:color="000000"/>
              <w:right w:val="single" w:sz="8" w:space="0" w:color="000000"/>
            </w:tcBorders>
            <w:vAlign w:val="center"/>
          </w:tcPr>
          <w:p w14:paraId="0BF58FD8"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1.617.010</w:t>
            </w:r>
          </w:p>
        </w:tc>
        <w:tc>
          <w:tcPr>
            <w:tcW w:w="1447" w:type="dxa"/>
            <w:tcBorders>
              <w:top w:val="single" w:sz="8" w:space="0" w:color="000000"/>
              <w:left w:val="single" w:sz="8" w:space="0" w:color="000000"/>
              <w:bottom w:val="single" w:sz="8" w:space="0" w:color="000000"/>
              <w:right w:val="single" w:sz="8" w:space="0" w:color="000000"/>
            </w:tcBorders>
            <w:vAlign w:val="center"/>
          </w:tcPr>
          <w:p w14:paraId="669C1461"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26,83%</w:t>
            </w:r>
          </w:p>
        </w:tc>
        <w:tc>
          <w:tcPr>
            <w:tcW w:w="1448" w:type="dxa"/>
            <w:tcBorders>
              <w:top w:val="single" w:sz="8" w:space="0" w:color="000000"/>
              <w:left w:val="single" w:sz="8" w:space="0" w:color="000000"/>
              <w:bottom w:val="single" w:sz="8" w:space="0" w:color="000000"/>
              <w:right w:val="single" w:sz="8" w:space="0" w:color="000000"/>
            </w:tcBorders>
            <w:vAlign w:val="center"/>
          </w:tcPr>
          <w:p w14:paraId="0CC6AEF3"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137.504</w:t>
            </w:r>
          </w:p>
        </w:tc>
        <w:tc>
          <w:tcPr>
            <w:tcW w:w="1317" w:type="dxa"/>
            <w:tcBorders>
              <w:top w:val="single" w:sz="8" w:space="0" w:color="000000"/>
              <w:left w:val="single" w:sz="8" w:space="0" w:color="000000"/>
              <w:bottom w:val="single" w:sz="8" w:space="0" w:color="000000"/>
              <w:right w:val="single" w:sz="8" w:space="0" w:color="000000"/>
            </w:tcBorders>
            <w:vAlign w:val="center"/>
          </w:tcPr>
          <w:p w14:paraId="3D324E5C"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7,88%</w:t>
            </w:r>
          </w:p>
        </w:tc>
        <w:tc>
          <w:tcPr>
            <w:tcW w:w="1091" w:type="dxa"/>
            <w:tcBorders>
              <w:top w:val="single" w:sz="8" w:space="0" w:color="000000"/>
              <w:left w:val="single" w:sz="8" w:space="0" w:color="000000"/>
              <w:bottom w:val="single" w:sz="8" w:space="0" w:color="000000"/>
              <w:right w:val="single" w:sz="8" w:space="0" w:color="000000"/>
            </w:tcBorders>
            <w:vAlign w:val="center"/>
          </w:tcPr>
          <w:p w14:paraId="4DF4EE19"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1.754.514</w:t>
            </w:r>
          </w:p>
        </w:tc>
        <w:tc>
          <w:tcPr>
            <w:tcW w:w="971" w:type="dxa"/>
            <w:tcBorders>
              <w:top w:val="single" w:sz="8" w:space="0" w:color="000000"/>
              <w:left w:val="single" w:sz="8" w:space="0" w:color="000000"/>
              <w:bottom w:val="single" w:sz="8" w:space="0" w:color="000000"/>
              <w:right w:val="single" w:sz="8" w:space="0" w:color="000000"/>
            </w:tcBorders>
            <w:vAlign w:val="center"/>
          </w:tcPr>
          <w:p w14:paraId="485F0448"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22,17%</w:t>
            </w:r>
          </w:p>
        </w:tc>
      </w:tr>
      <w:tr w:rsidR="009F762E" w:rsidRPr="00242DFB" w14:paraId="3F4F8070" w14:textId="77777777" w:rsidTr="00C0747A">
        <w:trPr>
          <w:cantSplit/>
          <w:trHeight w:val="90"/>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6980C3B2" w14:textId="77777777" w:rsidR="009F762E" w:rsidRPr="00242DFB" w:rsidRDefault="00000000" w:rsidP="002A0E52">
            <w:pPr>
              <w:spacing w:line="360" w:lineRule="auto"/>
              <w:rPr>
                <w:rFonts w:ascii="Arial" w:hAnsi="Arial" w:cs="Arial"/>
                <w:color w:val="000000" w:themeColor="text1"/>
                <w:sz w:val="22"/>
                <w:szCs w:val="22"/>
              </w:rPr>
            </w:pPr>
            <w:r w:rsidRPr="00242DFB">
              <w:rPr>
                <w:rFonts w:ascii="Arial" w:eastAsia="Arial" w:hAnsi="Arial" w:cs="Arial"/>
                <w:color w:val="000000" w:themeColor="text1"/>
                <w:sz w:val="22"/>
                <w:szCs w:val="22"/>
              </w:rPr>
              <w:t>Compensar EPS</w:t>
            </w:r>
          </w:p>
        </w:tc>
        <w:tc>
          <w:tcPr>
            <w:tcW w:w="1581" w:type="dxa"/>
            <w:tcBorders>
              <w:top w:val="single" w:sz="8" w:space="0" w:color="000000"/>
              <w:left w:val="single" w:sz="8" w:space="0" w:color="000000"/>
              <w:bottom w:val="single" w:sz="8" w:space="0" w:color="000000"/>
              <w:right w:val="single" w:sz="8" w:space="0" w:color="000000"/>
            </w:tcBorders>
            <w:vAlign w:val="center"/>
          </w:tcPr>
          <w:p w14:paraId="0BE0696C"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1.323.010</w:t>
            </w:r>
          </w:p>
        </w:tc>
        <w:tc>
          <w:tcPr>
            <w:tcW w:w="1447" w:type="dxa"/>
            <w:tcBorders>
              <w:top w:val="single" w:sz="8" w:space="0" w:color="000000"/>
              <w:left w:val="single" w:sz="8" w:space="0" w:color="000000"/>
              <w:bottom w:val="single" w:sz="8" w:space="0" w:color="000000"/>
              <w:right w:val="single" w:sz="8" w:space="0" w:color="000000"/>
            </w:tcBorders>
            <w:vAlign w:val="center"/>
          </w:tcPr>
          <w:p w14:paraId="3B39095C"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21,95%</w:t>
            </w:r>
          </w:p>
        </w:tc>
        <w:tc>
          <w:tcPr>
            <w:tcW w:w="1448" w:type="dxa"/>
            <w:tcBorders>
              <w:top w:val="single" w:sz="8" w:space="0" w:color="000000"/>
              <w:left w:val="single" w:sz="8" w:space="0" w:color="000000"/>
              <w:bottom w:val="single" w:sz="8" w:space="0" w:color="000000"/>
              <w:right w:val="single" w:sz="8" w:space="0" w:color="000000"/>
            </w:tcBorders>
            <w:vAlign w:val="center"/>
          </w:tcPr>
          <w:p w14:paraId="1628DFF2"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186.486</w:t>
            </w:r>
          </w:p>
        </w:tc>
        <w:tc>
          <w:tcPr>
            <w:tcW w:w="1317" w:type="dxa"/>
            <w:tcBorders>
              <w:top w:val="single" w:sz="8" w:space="0" w:color="000000"/>
              <w:left w:val="single" w:sz="8" w:space="0" w:color="000000"/>
              <w:bottom w:val="single" w:sz="8" w:space="0" w:color="000000"/>
              <w:right w:val="single" w:sz="8" w:space="0" w:color="000000"/>
            </w:tcBorders>
            <w:vAlign w:val="center"/>
          </w:tcPr>
          <w:p w14:paraId="3924125E"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10,69%</w:t>
            </w:r>
          </w:p>
        </w:tc>
        <w:tc>
          <w:tcPr>
            <w:tcW w:w="1091" w:type="dxa"/>
            <w:tcBorders>
              <w:top w:val="single" w:sz="8" w:space="0" w:color="000000"/>
              <w:left w:val="single" w:sz="8" w:space="0" w:color="000000"/>
              <w:bottom w:val="single" w:sz="8" w:space="0" w:color="000000"/>
              <w:right w:val="single" w:sz="8" w:space="0" w:color="000000"/>
            </w:tcBorders>
            <w:vAlign w:val="center"/>
          </w:tcPr>
          <w:p w14:paraId="37E1769E"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1.509.496</w:t>
            </w:r>
          </w:p>
        </w:tc>
        <w:tc>
          <w:tcPr>
            <w:tcW w:w="971" w:type="dxa"/>
            <w:tcBorders>
              <w:top w:val="single" w:sz="8" w:space="0" w:color="000000"/>
              <w:left w:val="single" w:sz="8" w:space="0" w:color="000000"/>
              <w:bottom w:val="single" w:sz="8" w:space="0" w:color="000000"/>
              <w:right w:val="single" w:sz="8" w:space="0" w:color="000000"/>
            </w:tcBorders>
            <w:vAlign w:val="center"/>
          </w:tcPr>
          <w:p w14:paraId="5F905666"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19,07%</w:t>
            </w:r>
          </w:p>
        </w:tc>
      </w:tr>
      <w:tr w:rsidR="009F762E" w:rsidRPr="00242DFB" w14:paraId="341AD555" w14:textId="77777777" w:rsidTr="00C0747A">
        <w:trPr>
          <w:cantSplit/>
          <w:trHeight w:val="106"/>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67FF2C6A" w14:textId="77777777" w:rsidR="009F762E" w:rsidRPr="00242DFB" w:rsidRDefault="00000000" w:rsidP="002A0E52">
            <w:pPr>
              <w:spacing w:line="360" w:lineRule="auto"/>
              <w:rPr>
                <w:rFonts w:ascii="Arial" w:hAnsi="Arial" w:cs="Arial"/>
                <w:color w:val="000000" w:themeColor="text1"/>
                <w:sz w:val="22"/>
                <w:szCs w:val="22"/>
              </w:rPr>
            </w:pPr>
            <w:r w:rsidRPr="00242DFB">
              <w:rPr>
                <w:rFonts w:ascii="Arial" w:eastAsia="Arial" w:hAnsi="Arial" w:cs="Arial"/>
                <w:color w:val="000000" w:themeColor="text1"/>
                <w:sz w:val="22"/>
                <w:szCs w:val="22"/>
              </w:rPr>
              <w:t>Famisanar EPS</w:t>
            </w:r>
          </w:p>
        </w:tc>
        <w:tc>
          <w:tcPr>
            <w:tcW w:w="1581" w:type="dxa"/>
            <w:tcBorders>
              <w:top w:val="single" w:sz="8" w:space="0" w:color="000000"/>
              <w:left w:val="single" w:sz="8" w:space="0" w:color="000000"/>
              <w:bottom w:val="single" w:sz="8" w:space="0" w:color="000000"/>
              <w:right w:val="single" w:sz="8" w:space="0" w:color="000000"/>
            </w:tcBorders>
            <w:vAlign w:val="center"/>
          </w:tcPr>
          <w:p w14:paraId="4357D5A5"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978.304</w:t>
            </w:r>
          </w:p>
        </w:tc>
        <w:tc>
          <w:tcPr>
            <w:tcW w:w="1447" w:type="dxa"/>
            <w:tcBorders>
              <w:top w:val="single" w:sz="8" w:space="0" w:color="000000"/>
              <w:left w:val="single" w:sz="8" w:space="0" w:color="000000"/>
              <w:bottom w:val="single" w:sz="8" w:space="0" w:color="000000"/>
              <w:right w:val="single" w:sz="8" w:space="0" w:color="000000"/>
            </w:tcBorders>
            <w:vAlign w:val="center"/>
          </w:tcPr>
          <w:p w14:paraId="1BABED71"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16,23%</w:t>
            </w:r>
          </w:p>
        </w:tc>
        <w:tc>
          <w:tcPr>
            <w:tcW w:w="1448" w:type="dxa"/>
            <w:tcBorders>
              <w:top w:val="single" w:sz="8" w:space="0" w:color="000000"/>
              <w:left w:val="single" w:sz="8" w:space="0" w:color="000000"/>
              <w:bottom w:val="single" w:sz="8" w:space="0" w:color="000000"/>
              <w:right w:val="single" w:sz="8" w:space="0" w:color="000000"/>
            </w:tcBorders>
            <w:vAlign w:val="center"/>
          </w:tcPr>
          <w:p w14:paraId="2DC0BB01"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214.087</w:t>
            </w:r>
          </w:p>
        </w:tc>
        <w:tc>
          <w:tcPr>
            <w:tcW w:w="1317" w:type="dxa"/>
            <w:tcBorders>
              <w:top w:val="single" w:sz="8" w:space="0" w:color="000000"/>
              <w:left w:val="single" w:sz="8" w:space="0" w:color="000000"/>
              <w:bottom w:val="single" w:sz="8" w:space="0" w:color="000000"/>
              <w:right w:val="single" w:sz="8" w:space="0" w:color="000000"/>
            </w:tcBorders>
            <w:vAlign w:val="center"/>
          </w:tcPr>
          <w:p w14:paraId="55D2DC9E"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12,27%</w:t>
            </w:r>
          </w:p>
        </w:tc>
        <w:tc>
          <w:tcPr>
            <w:tcW w:w="1091" w:type="dxa"/>
            <w:tcBorders>
              <w:top w:val="single" w:sz="8" w:space="0" w:color="000000"/>
              <w:left w:val="single" w:sz="8" w:space="0" w:color="000000"/>
              <w:bottom w:val="single" w:sz="8" w:space="0" w:color="000000"/>
              <w:right w:val="single" w:sz="8" w:space="0" w:color="000000"/>
            </w:tcBorders>
            <w:vAlign w:val="center"/>
          </w:tcPr>
          <w:p w14:paraId="15668FA3"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1.192.391</w:t>
            </w:r>
          </w:p>
        </w:tc>
        <w:tc>
          <w:tcPr>
            <w:tcW w:w="971" w:type="dxa"/>
            <w:tcBorders>
              <w:top w:val="single" w:sz="8" w:space="0" w:color="000000"/>
              <w:left w:val="single" w:sz="8" w:space="0" w:color="000000"/>
              <w:bottom w:val="single" w:sz="8" w:space="0" w:color="000000"/>
              <w:right w:val="single" w:sz="8" w:space="0" w:color="000000"/>
            </w:tcBorders>
            <w:vAlign w:val="center"/>
          </w:tcPr>
          <w:p w14:paraId="1AA12BD2"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15,07%</w:t>
            </w:r>
          </w:p>
        </w:tc>
      </w:tr>
      <w:tr w:rsidR="009F762E" w:rsidRPr="00242DFB" w14:paraId="73483B2E" w14:textId="77777777" w:rsidTr="00C0747A">
        <w:trPr>
          <w:cantSplit/>
          <w:trHeight w:val="121"/>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0476E0A5" w14:textId="77777777" w:rsidR="009F762E" w:rsidRPr="00242DFB" w:rsidRDefault="00000000" w:rsidP="002A0E52">
            <w:pPr>
              <w:spacing w:line="360" w:lineRule="auto"/>
              <w:rPr>
                <w:rFonts w:ascii="Arial" w:hAnsi="Arial" w:cs="Arial"/>
                <w:color w:val="000000" w:themeColor="text1"/>
                <w:sz w:val="22"/>
                <w:szCs w:val="22"/>
              </w:rPr>
            </w:pPr>
            <w:r w:rsidRPr="00242DFB">
              <w:rPr>
                <w:rFonts w:ascii="Arial" w:eastAsia="Arial" w:hAnsi="Arial" w:cs="Arial"/>
                <w:color w:val="000000" w:themeColor="text1"/>
                <w:sz w:val="22"/>
                <w:szCs w:val="22"/>
              </w:rPr>
              <w:t>Salud Total EPS</w:t>
            </w:r>
          </w:p>
        </w:tc>
        <w:tc>
          <w:tcPr>
            <w:tcW w:w="1581" w:type="dxa"/>
            <w:tcBorders>
              <w:top w:val="single" w:sz="8" w:space="0" w:color="000000"/>
              <w:left w:val="single" w:sz="8" w:space="0" w:color="000000"/>
              <w:bottom w:val="single" w:sz="8" w:space="0" w:color="000000"/>
              <w:right w:val="single" w:sz="8" w:space="0" w:color="000000"/>
            </w:tcBorders>
            <w:vAlign w:val="center"/>
          </w:tcPr>
          <w:p w14:paraId="5F94C759"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879.523</w:t>
            </w:r>
          </w:p>
        </w:tc>
        <w:tc>
          <w:tcPr>
            <w:tcW w:w="1447" w:type="dxa"/>
            <w:tcBorders>
              <w:top w:val="single" w:sz="8" w:space="0" w:color="000000"/>
              <w:left w:val="single" w:sz="8" w:space="0" w:color="000000"/>
              <w:bottom w:val="single" w:sz="8" w:space="0" w:color="000000"/>
              <w:right w:val="single" w:sz="8" w:space="0" w:color="000000"/>
            </w:tcBorders>
            <w:vAlign w:val="center"/>
          </w:tcPr>
          <w:p w14:paraId="69B07E04"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14,59%</w:t>
            </w:r>
          </w:p>
        </w:tc>
        <w:tc>
          <w:tcPr>
            <w:tcW w:w="1448" w:type="dxa"/>
            <w:tcBorders>
              <w:top w:val="single" w:sz="8" w:space="0" w:color="000000"/>
              <w:left w:val="single" w:sz="8" w:space="0" w:color="000000"/>
              <w:bottom w:val="single" w:sz="8" w:space="0" w:color="000000"/>
              <w:right w:val="single" w:sz="8" w:space="0" w:color="000000"/>
            </w:tcBorders>
            <w:vAlign w:val="center"/>
          </w:tcPr>
          <w:p w14:paraId="32DF53BE"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187.812</w:t>
            </w:r>
          </w:p>
        </w:tc>
        <w:tc>
          <w:tcPr>
            <w:tcW w:w="1317" w:type="dxa"/>
            <w:tcBorders>
              <w:top w:val="single" w:sz="8" w:space="0" w:color="000000"/>
              <w:left w:val="single" w:sz="8" w:space="0" w:color="000000"/>
              <w:bottom w:val="single" w:sz="8" w:space="0" w:color="000000"/>
              <w:right w:val="single" w:sz="8" w:space="0" w:color="000000"/>
            </w:tcBorders>
            <w:vAlign w:val="center"/>
          </w:tcPr>
          <w:p w14:paraId="3C9C7644"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10,76%</w:t>
            </w:r>
          </w:p>
        </w:tc>
        <w:tc>
          <w:tcPr>
            <w:tcW w:w="1091" w:type="dxa"/>
            <w:tcBorders>
              <w:top w:val="single" w:sz="8" w:space="0" w:color="000000"/>
              <w:left w:val="single" w:sz="8" w:space="0" w:color="000000"/>
              <w:bottom w:val="single" w:sz="8" w:space="0" w:color="000000"/>
              <w:right w:val="single" w:sz="8" w:space="0" w:color="000000"/>
            </w:tcBorders>
            <w:vAlign w:val="center"/>
          </w:tcPr>
          <w:p w14:paraId="5971EB2A"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1.067.335</w:t>
            </w:r>
          </w:p>
        </w:tc>
        <w:tc>
          <w:tcPr>
            <w:tcW w:w="971" w:type="dxa"/>
            <w:tcBorders>
              <w:top w:val="single" w:sz="8" w:space="0" w:color="000000"/>
              <w:left w:val="single" w:sz="8" w:space="0" w:color="000000"/>
              <w:bottom w:val="single" w:sz="8" w:space="0" w:color="000000"/>
              <w:right w:val="single" w:sz="8" w:space="0" w:color="000000"/>
            </w:tcBorders>
            <w:vAlign w:val="center"/>
          </w:tcPr>
          <w:p w14:paraId="025789A5"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13,49%</w:t>
            </w:r>
          </w:p>
        </w:tc>
      </w:tr>
      <w:tr w:rsidR="009F762E" w:rsidRPr="00242DFB" w14:paraId="1187377C" w14:textId="77777777" w:rsidTr="00C0747A">
        <w:trPr>
          <w:cantSplit/>
          <w:trHeight w:val="13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F8CBAD"/>
            <w:vAlign w:val="center"/>
          </w:tcPr>
          <w:p w14:paraId="3513556A" w14:textId="77777777" w:rsidR="009F762E" w:rsidRPr="00242DFB" w:rsidRDefault="00000000" w:rsidP="002A0E52">
            <w:pPr>
              <w:spacing w:line="360" w:lineRule="auto"/>
              <w:rPr>
                <w:rFonts w:ascii="Arial" w:hAnsi="Arial" w:cs="Arial"/>
                <w:color w:val="000000" w:themeColor="text1"/>
                <w:sz w:val="22"/>
                <w:szCs w:val="22"/>
              </w:rPr>
            </w:pPr>
            <w:r w:rsidRPr="00242DFB">
              <w:rPr>
                <w:rFonts w:ascii="Arial" w:eastAsia="Arial" w:hAnsi="Arial" w:cs="Arial"/>
                <w:b/>
                <w:bCs/>
                <w:color w:val="000000" w:themeColor="text1"/>
                <w:sz w:val="22"/>
                <w:szCs w:val="22"/>
              </w:rPr>
              <w:lastRenderedPageBreak/>
              <w:t>Capital Salud EPS</w:t>
            </w:r>
          </w:p>
        </w:tc>
        <w:tc>
          <w:tcPr>
            <w:tcW w:w="1581" w:type="dxa"/>
            <w:tcBorders>
              <w:top w:val="single" w:sz="8" w:space="0" w:color="000000"/>
              <w:left w:val="single" w:sz="8" w:space="0" w:color="000000"/>
              <w:bottom w:val="single" w:sz="8" w:space="0" w:color="000000"/>
              <w:right w:val="single" w:sz="8" w:space="0" w:color="000000"/>
            </w:tcBorders>
            <w:shd w:val="clear" w:color="auto" w:fill="F8CBAD"/>
            <w:vAlign w:val="center"/>
          </w:tcPr>
          <w:p w14:paraId="41C09E19"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b/>
                <w:bCs/>
                <w:color w:val="000000" w:themeColor="text1"/>
                <w:sz w:val="22"/>
                <w:szCs w:val="22"/>
              </w:rPr>
              <w:t>61.961</w:t>
            </w:r>
          </w:p>
        </w:tc>
        <w:tc>
          <w:tcPr>
            <w:tcW w:w="1447" w:type="dxa"/>
            <w:tcBorders>
              <w:top w:val="single" w:sz="8" w:space="0" w:color="000000"/>
              <w:left w:val="single" w:sz="8" w:space="0" w:color="000000"/>
              <w:bottom w:val="single" w:sz="8" w:space="0" w:color="000000"/>
              <w:right w:val="single" w:sz="8" w:space="0" w:color="000000"/>
            </w:tcBorders>
            <w:shd w:val="clear" w:color="auto" w:fill="F8CBAD"/>
            <w:vAlign w:val="center"/>
          </w:tcPr>
          <w:p w14:paraId="157DEFB7"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b/>
                <w:bCs/>
                <w:color w:val="000000" w:themeColor="text1"/>
                <w:sz w:val="22"/>
                <w:szCs w:val="22"/>
              </w:rPr>
              <w:t>1,03%</w:t>
            </w:r>
          </w:p>
        </w:tc>
        <w:tc>
          <w:tcPr>
            <w:tcW w:w="1448" w:type="dxa"/>
            <w:tcBorders>
              <w:top w:val="single" w:sz="8" w:space="0" w:color="000000"/>
              <w:left w:val="single" w:sz="8" w:space="0" w:color="000000"/>
              <w:bottom w:val="single" w:sz="8" w:space="0" w:color="000000"/>
              <w:right w:val="single" w:sz="8" w:space="0" w:color="000000"/>
            </w:tcBorders>
            <w:shd w:val="clear" w:color="auto" w:fill="F8CBAD"/>
            <w:vAlign w:val="center"/>
          </w:tcPr>
          <w:p w14:paraId="1B61EFA9"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b/>
                <w:bCs/>
                <w:color w:val="000000" w:themeColor="text1"/>
                <w:sz w:val="22"/>
                <w:szCs w:val="22"/>
              </w:rPr>
              <w:t>838.191</w:t>
            </w:r>
          </w:p>
        </w:tc>
        <w:tc>
          <w:tcPr>
            <w:tcW w:w="1317" w:type="dxa"/>
            <w:tcBorders>
              <w:top w:val="single" w:sz="8" w:space="0" w:color="000000"/>
              <w:left w:val="single" w:sz="8" w:space="0" w:color="000000"/>
              <w:bottom w:val="single" w:sz="8" w:space="0" w:color="000000"/>
              <w:right w:val="single" w:sz="8" w:space="0" w:color="000000"/>
            </w:tcBorders>
            <w:shd w:val="clear" w:color="auto" w:fill="F8CBAD"/>
            <w:vAlign w:val="center"/>
          </w:tcPr>
          <w:p w14:paraId="1733F85E"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b/>
                <w:bCs/>
                <w:color w:val="000000" w:themeColor="text1"/>
                <w:sz w:val="22"/>
                <w:szCs w:val="22"/>
              </w:rPr>
              <w:t>48,04%</w:t>
            </w:r>
          </w:p>
        </w:tc>
        <w:tc>
          <w:tcPr>
            <w:tcW w:w="1091" w:type="dxa"/>
            <w:tcBorders>
              <w:top w:val="single" w:sz="8" w:space="0" w:color="000000"/>
              <w:left w:val="single" w:sz="8" w:space="0" w:color="000000"/>
              <w:bottom w:val="single" w:sz="8" w:space="0" w:color="000000"/>
              <w:right w:val="single" w:sz="8" w:space="0" w:color="000000"/>
            </w:tcBorders>
            <w:shd w:val="clear" w:color="auto" w:fill="F8CBAD"/>
            <w:vAlign w:val="center"/>
          </w:tcPr>
          <w:p w14:paraId="3FCBFD0C"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b/>
                <w:bCs/>
                <w:color w:val="000000" w:themeColor="text1"/>
                <w:sz w:val="22"/>
                <w:szCs w:val="22"/>
              </w:rPr>
              <w:t>900.152</w:t>
            </w:r>
          </w:p>
        </w:tc>
        <w:tc>
          <w:tcPr>
            <w:tcW w:w="971" w:type="dxa"/>
            <w:tcBorders>
              <w:top w:val="single" w:sz="8" w:space="0" w:color="000000"/>
              <w:left w:val="single" w:sz="8" w:space="0" w:color="000000"/>
              <w:bottom w:val="single" w:sz="8" w:space="0" w:color="000000"/>
              <w:right w:val="single" w:sz="8" w:space="0" w:color="000000"/>
            </w:tcBorders>
            <w:shd w:val="clear" w:color="auto" w:fill="F8CBAD"/>
            <w:vAlign w:val="center"/>
          </w:tcPr>
          <w:p w14:paraId="0FB79978"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b/>
                <w:bCs/>
                <w:color w:val="000000" w:themeColor="text1"/>
                <w:sz w:val="22"/>
                <w:szCs w:val="22"/>
              </w:rPr>
              <w:t>11,37%</w:t>
            </w:r>
          </w:p>
        </w:tc>
      </w:tr>
      <w:tr w:rsidR="009F762E" w:rsidRPr="00242DFB" w14:paraId="70D6F5B5" w14:textId="77777777" w:rsidTr="00C0747A">
        <w:trPr>
          <w:cantSplit/>
          <w:trHeight w:val="31"/>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0B684DF1" w14:textId="77777777" w:rsidR="009F762E" w:rsidRPr="00242DFB" w:rsidRDefault="00000000" w:rsidP="002A0E52">
            <w:pPr>
              <w:spacing w:line="360" w:lineRule="auto"/>
              <w:rPr>
                <w:rFonts w:ascii="Arial" w:hAnsi="Arial" w:cs="Arial"/>
                <w:color w:val="000000" w:themeColor="text1"/>
                <w:sz w:val="22"/>
                <w:szCs w:val="22"/>
              </w:rPr>
            </w:pPr>
            <w:r w:rsidRPr="00242DFB">
              <w:rPr>
                <w:rFonts w:ascii="Arial" w:eastAsia="Arial" w:hAnsi="Arial" w:cs="Arial"/>
                <w:color w:val="000000" w:themeColor="text1"/>
                <w:sz w:val="22"/>
                <w:szCs w:val="22"/>
              </w:rPr>
              <w:t>Nueva EPS</w:t>
            </w:r>
          </w:p>
        </w:tc>
        <w:tc>
          <w:tcPr>
            <w:tcW w:w="1581" w:type="dxa"/>
            <w:tcBorders>
              <w:top w:val="single" w:sz="8" w:space="0" w:color="000000"/>
              <w:left w:val="single" w:sz="8" w:space="0" w:color="000000"/>
              <w:bottom w:val="single" w:sz="8" w:space="0" w:color="000000"/>
              <w:right w:val="single" w:sz="8" w:space="0" w:color="000000"/>
            </w:tcBorders>
            <w:vAlign w:val="center"/>
          </w:tcPr>
          <w:p w14:paraId="3B82CB60"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474.869</w:t>
            </w:r>
          </w:p>
        </w:tc>
        <w:tc>
          <w:tcPr>
            <w:tcW w:w="1447" w:type="dxa"/>
            <w:tcBorders>
              <w:top w:val="single" w:sz="8" w:space="0" w:color="000000"/>
              <w:left w:val="single" w:sz="8" w:space="0" w:color="000000"/>
              <w:bottom w:val="single" w:sz="8" w:space="0" w:color="000000"/>
              <w:right w:val="single" w:sz="8" w:space="0" w:color="000000"/>
            </w:tcBorders>
            <w:vAlign w:val="center"/>
          </w:tcPr>
          <w:p w14:paraId="23C0FDE4"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7,88%</w:t>
            </w:r>
          </w:p>
        </w:tc>
        <w:tc>
          <w:tcPr>
            <w:tcW w:w="1448" w:type="dxa"/>
            <w:tcBorders>
              <w:top w:val="single" w:sz="8" w:space="0" w:color="000000"/>
              <w:left w:val="single" w:sz="8" w:space="0" w:color="000000"/>
              <w:bottom w:val="single" w:sz="8" w:space="0" w:color="000000"/>
              <w:right w:val="single" w:sz="8" w:space="0" w:color="000000"/>
            </w:tcBorders>
            <w:vAlign w:val="center"/>
          </w:tcPr>
          <w:p w14:paraId="3DD8C967"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105.048</w:t>
            </w:r>
          </w:p>
        </w:tc>
        <w:tc>
          <w:tcPr>
            <w:tcW w:w="1317" w:type="dxa"/>
            <w:tcBorders>
              <w:top w:val="single" w:sz="8" w:space="0" w:color="000000"/>
              <w:left w:val="single" w:sz="8" w:space="0" w:color="000000"/>
              <w:bottom w:val="single" w:sz="8" w:space="0" w:color="000000"/>
              <w:right w:val="single" w:sz="8" w:space="0" w:color="000000"/>
            </w:tcBorders>
            <w:vAlign w:val="center"/>
          </w:tcPr>
          <w:p w14:paraId="40B34963"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6,02%</w:t>
            </w:r>
          </w:p>
        </w:tc>
        <w:tc>
          <w:tcPr>
            <w:tcW w:w="1091" w:type="dxa"/>
            <w:tcBorders>
              <w:top w:val="single" w:sz="8" w:space="0" w:color="000000"/>
              <w:left w:val="single" w:sz="8" w:space="0" w:color="000000"/>
              <w:bottom w:val="single" w:sz="8" w:space="0" w:color="000000"/>
              <w:right w:val="single" w:sz="8" w:space="0" w:color="000000"/>
            </w:tcBorders>
            <w:vAlign w:val="center"/>
          </w:tcPr>
          <w:p w14:paraId="3913340E"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579.917</w:t>
            </w:r>
          </w:p>
        </w:tc>
        <w:tc>
          <w:tcPr>
            <w:tcW w:w="971" w:type="dxa"/>
            <w:tcBorders>
              <w:top w:val="single" w:sz="8" w:space="0" w:color="000000"/>
              <w:left w:val="single" w:sz="8" w:space="0" w:color="000000"/>
              <w:bottom w:val="single" w:sz="8" w:space="0" w:color="000000"/>
              <w:right w:val="single" w:sz="8" w:space="0" w:color="000000"/>
            </w:tcBorders>
            <w:vAlign w:val="center"/>
          </w:tcPr>
          <w:p w14:paraId="30C0D5CD"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7,33%</w:t>
            </w:r>
          </w:p>
        </w:tc>
      </w:tr>
      <w:tr w:rsidR="009F762E" w:rsidRPr="00242DFB" w14:paraId="3574F72D" w14:textId="77777777" w:rsidTr="00C0747A">
        <w:trPr>
          <w:cantSplit/>
          <w:trHeight w:val="26"/>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019D119A" w14:textId="77777777" w:rsidR="009F762E" w:rsidRPr="00242DFB" w:rsidRDefault="00000000" w:rsidP="002A0E52">
            <w:pPr>
              <w:spacing w:line="360" w:lineRule="auto"/>
              <w:rPr>
                <w:rFonts w:ascii="Arial" w:hAnsi="Arial" w:cs="Arial"/>
                <w:color w:val="000000" w:themeColor="text1"/>
                <w:sz w:val="22"/>
                <w:szCs w:val="22"/>
              </w:rPr>
            </w:pPr>
            <w:r w:rsidRPr="00242DFB">
              <w:rPr>
                <w:rFonts w:ascii="Arial" w:eastAsia="Arial" w:hAnsi="Arial" w:cs="Arial"/>
                <w:color w:val="000000" w:themeColor="text1"/>
                <w:sz w:val="22"/>
                <w:szCs w:val="22"/>
              </w:rPr>
              <w:t>EPS Sura</w:t>
            </w:r>
          </w:p>
        </w:tc>
        <w:tc>
          <w:tcPr>
            <w:tcW w:w="1581" w:type="dxa"/>
            <w:tcBorders>
              <w:top w:val="single" w:sz="8" w:space="0" w:color="000000"/>
              <w:left w:val="single" w:sz="8" w:space="0" w:color="000000"/>
              <w:bottom w:val="single" w:sz="8" w:space="0" w:color="000000"/>
              <w:right w:val="single" w:sz="8" w:space="0" w:color="000000"/>
            </w:tcBorders>
            <w:vAlign w:val="center"/>
          </w:tcPr>
          <w:p w14:paraId="01B8E357"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432.047</w:t>
            </w:r>
          </w:p>
        </w:tc>
        <w:tc>
          <w:tcPr>
            <w:tcW w:w="1447" w:type="dxa"/>
            <w:tcBorders>
              <w:top w:val="single" w:sz="8" w:space="0" w:color="000000"/>
              <w:left w:val="single" w:sz="8" w:space="0" w:color="000000"/>
              <w:bottom w:val="single" w:sz="8" w:space="0" w:color="000000"/>
              <w:right w:val="single" w:sz="8" w:space="0" w:color="000000"/>
            </w:tcBorders>
            <w:vAlign w:val="center"/>
          </w:tcPr>
          <w:p w14:paraId="2CF64265"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7,17%</w:t>
            </w:r>
          </w:p>
        </w:tc>
        <w:tc>
          <w:tcPr>
            <w:tcW w:w="1448" w:type="dxa"/>
            <w:tcBorders>
              <w:top w:val="single" w:sz="8" w:space="0" w:color="000000"/>
              <w:left w:val="single" w:sz="8" w:space="0" w:color="000000"/>
              <w:bottom w:val="single" w:sz="8" w:space="0" w:color="000000"/>
              <w:right w:val="single" w:sz="8" w:space="0" w:color="000000"/>
            </w:tcBorders>
            <w:vAlign w:val="center"/>
          </w:tcPr>
          <w:p w14:paraId="7E5DEE18"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60.077</w:t>
            </w:r>
          </w:p>
        </w:tc>
        <w:tc>
          <w:tcPr>
            <w:tcW w:w="1317" w:type="dxa"/>
            <w:tcBorders>
              <w:top w:val="single" w:sz="8" w:space="0" w:color="000000"/>
              <w:left w:val="single" w:sz="8" w:space="0" w:color="000000"/>
              <w:bottom w:val="single" w:sz="8" w:space="0" w:color="000000"/>
              <w:right w:val="single" w:sz="8" w:space="0" w:color="000000"/>
            </w:tcBorders>
            <w:vAlign w:val="center"/>
          </w:tcPr>
          <w:p w14:paraId="7484189F"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3,44%</w:t>
            </w:r>
          </w:p>
        </w:tc>
        <w:tc>
          <w:tcPr>
            <w:tcW w:w="1091" w:type="dxa"/>
            <w:tcBorders>
              <w:top w:val="single" w:sz="8" w:space="0" w:color="000000"/>
              <w:left w:val="single" w:sz="8" w:space="0" w:color="000000"/>
              <w:bottom w:val="single" w:sz="8" w:space="0" w:color="000000"/>
              <w:right w:val="single" w:sz="8" w:space="0" w:color="000000"/>
            </w:tcBorders>
            <w:vAlign w:val="center"/>
          </w:tcPr>
          <w:p w14:paraId="0AB184C6"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492.124</w:t>
            </w:r>
          </w:p>
        </w:tc>
        <w:tc>
          <w:tcPr>
            <w:tcW w:w="971" w:type="dxa"/>
            <w:tcBorders>
              <w:top w:val="single" w:sz="8" w:space="0" w:color="000000"/>
              <w:left w:val="single" w:sz="8" w:space="0" w:color="000000"/>
              <w:bottom w:val="single" w:sz="8" w:space="0" w:color="000000"/>
              <w:right w:val="single" w:sz="8" w:space="0" w:color="000000"/>
            </w:tcBorders>
            <w:vAlign w:val="center"/>
          </w:tcPr>
          <w:p w14:paraId="573F60E4"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6,22%</w:t>
            </w:r>
          </w:p>
        </w:tc>
      </w:tr>
      <w:tr w:rsidR="009F762E" w:rsidRPr="00242DFB" w14:paraId="6A346B66" w14:textId="77777777" w:rsidTr="00C0747A">
        <w:trPr>
          <w:cantSplit/>
          <w:trHeight w:val="61"/>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633B45D9" w14:textId="77777777" w:rsidR="009F762E" w:rsidRPr="00242DFB" w:rsidRDefault="00000000" w:rsidP="002A0E52">
            <w:pPr>
              <w:spacing w:line="360" w:lineRule="auto"/>
              <w:rPr>
                <w:rFonts w:ascii="Arial" w:hAnsi="Arial" w:cs="Arial"/>
                <w:color w:val="000000" w:themeColor="text1"/>
                <w:sz w:val="22"/>
                <w:szCs w:val="22"/>
              </w:rPr>
            </w:pPr>
            <w:r w:rsidRPr="00242DFB">
              <w:rPr>
                <w:rFonts w:ascii="Arial" w:eastAsia="Arial" w:hAnsi="Arial" w:cs="Arial"/>
                <w:color w:val="000000" w:themeColor="text1"/>
                <w:sz w:val="22"/>
                <w:szCs w:val="22"/>
              </w:rPr>
              <w:t>Aliansalud EPS</w:t>
            </w:r>
          </w:p>
        </w:tc>
        <w:tc>
          <w:tcPr>
            <w:tcW w:w="1581" w:type="dxa"/>
            <w:tcBorders>
              <w:top w:val="single" w:sz="8" w:space="0" w:color="000000"/>
              <w:left w:val="single" w:sz="8" w:space="0" w:color="000000"/>
              <w:bottom w:val="single" w:sz="8" w:space="0" w:color="000000"/>
              <w:right w:val="single" w:sz="8" w:space="0" w:color="000000"/>
            </w:tcBorders>
            <w:vAlign w:val="center"/>
          </w:tcPr>
          <w:p w14:paraId="73F38120"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250.498</w:t>
            </w:r>
          </w:p>
        </w:tc>
        <w:tc>
          <w:tcPr>
            <w:tcW w:w="1447" w:type="dxa"/>
            <w:tcBorders>
              <w:top w:val="single" w:sz="8" w:space="0" w:color="000000"/>
              <w:left w:val="single" w:sz="8" w:space="0" w:color="000000"/>
              <w:bottom w:val="single" w:sz="8" w:space="0" w:color="000000"/>
              <w:right w:val="single" w:sz="8" w:space="0" w:color="000000"/>
            </w:tcBorders>
            <w:vAlign w:val="center"/>
          </w:tcPr>
          <w:p w14:paraId="5FADAD06"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4,16%</w:t>
            </w:r>
          </w:p>
        </w:tc>
        <w:tc>
          <w:tcPr>
            <w:tcW w:w="1448" w:type="dxa"/>
            <w:tcBorders>
              <w:top w:val="single" w:sz="8" w:space="0" w:color="000000"/>
              <w:left w:val="single" w:sz="8" w:space="0" w:color="000000"/>
              <w:bottom w:val="single" w:sz="8" w:space="0" w:color="000000"/>
              <w:right w:val="single" w:sz="8" w:space="0" w:color="000000"/>
            </w:tcBorders>
            <w:vAlign w:val="center"/>
          </w:tcPr>
          <w:p w14:paraId="24D39786"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7.463</w:t>
            </w:r>
          </w:p>
        </w:tc>
        <w:tc>
          <w:tcPr>
            <w:tcW w:w="1317" w:type="dxa"/>
            <w:tcBorders>
              <w:top w:val="single" w:sz="8" w:space="0" w:color="000000"/>
              <w:left w:val="single" w:sz="8" w:space="0" w:color="000000"/>
              <w:bottom w:val="single" w:sz="8" w:space="0" w:color="000000"/>
              <w:right w:val="single" w:sz="8" w:space="0" w:color="000000"/>
            </w:tcBorders>
            <w:vAlign w:val="center"/>
          </w:tcPr>
          <w:p w14:paraId="6468A913"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0,43%</w:t>
            </w:r>
          </w:p>
        </w:tc>
        <w:tc>
          <w:tcPr>
            <w:tcW w:w="1091" w:type="dxa"/>
            <w:tcBorders>
              <w:top w:val="single" w:sz="8" w:space="0" w:color="000000"/>
              <w:left w:val="single" w:sz="8" w:space="0" w:color="000000"/>
              <w:bottom w:val="single" w:sz="8" w:space="0" w:color="000000"/>
              <w:right w:val="single" w:sz="8" w:space="0" w:color="000000"/>
            </w:tcBorders>
            <w:vAlign w:val="center"/>
          </w:tcPr>
          <w:p w14:paraId="1E2B1CFD"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257.961</w:t>
            </w:r>
          </w:p>
        </w:tc>
        <w:tc>
          <w:tcPr>
            <w:tcW w:w="971" w:type="dxa"/>
            <w:tcBorders>
              <w:top w:val="single" w:sz="8" w:space="0" w:color="000000"/>
              <w:left w:val="single" w:sz="8" w:space="0" w:color="000000"/>
              <w:bottom w:val="single" w:sz="8" w:space="0" w:color="000000"/>
              <w:right w:val="single" w:sz="8" w:space="0" w:color="000000"/>
            </w:tcBorders>
            <w:vAlign w:val="center"/>
          </w:tcPr>
          <w:p w14:paraId="7703DCA4"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3,26%</w:t>
            </w:r>
          </w:p>
        </w:tc>
      </w:tr>
      <w:tr w:rsidR="009F762E" w:rsidRPr="00242DFB" w14:paraId="228FEB02" w14:textId="77777777" w:rsidTr="00C0747A">
        <w:trPr>
          <w:cantSplit/>
          <w:trHeight w:val="320"/>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78091094" w14:textId="77777777" w:rsidR="009F762E" w:rsidRPr="00242DFB" w:rsidRDefault="00000000" w:rsidP="002A0E52">
            <w:pPr>
              <w:spacing w:line="360" w:lineRule="auto"/>
              <w:rPr>
                <w:rFonts w:ascii="Arial" w:hAnsi="Arial" w:cs="Arial"/>
                <w:color w:val="000000" w:themeColor="text1"/>
                <w:sz w:val="22"/>
                <w:szCs w:val="22"/>
              </w:rPr>
            </w:pPr>
            <w:r w:rsidRPr="00242DFB">
              <w:rPr>
                <w:rFonts w:ascii="Arial" w:eastAsia="Arial" w:hAnsi="Arial" w:cs="Arial"/>
                <w:color w:val="000000" w:themeColor="text1"/>
                <w:sz w:val="22"/>
                <w:szCs w:val="22"/>
              </w:rPr>
              <w:t>Régimen de Excepción</w:t>
            </w:r>
          </w:p>
        </w:tc>
        <w:tc>
          <w:tcPr>
            <w:tcW w:w="158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0ECDE685"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 xml:space="preserve"> </w:t>
            </w:r>
          </w:p>
        </w:tc>
        <w:tc>
          <w:tcPr>
            <w:tcW w:w="144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0C112D66"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 xml:space="preserve"> </w:t>
            </w:r>
          </w:p>
        </w:tc>
        <w:tc>
          <w:tcPr>
            <w:tcW w:w="144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0A07548F"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 xml:space="preserve"> </w:t>
            </w:r>
          </w:p>
        </w:tc>
        <w:tc>
          <w:tcPr>
            <w:tcW w:w="131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5643B5C2"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 xml:space="preserve"> </w:t>
            </w:r>
          </w:p>
        </w:tc>
        <w:tc>
          <w:tcPr>
            <w:tcW w:w="1091" w:type="dxa"/>
            <w:tcBorders>
              <w:top w:val="single" w:sz="8" w:space="0" w:color="000000"/>
              <w:left w:val="single" w:sz="8" w:space="0" w:color="000000"/>
              <w:bottom w:val="single" w:sz="8" w:space="0" w:color="000000"/>
              <w:right w:val="single" w:sz="8" w:space="0" w:color="000000"/>
            </w:tcBorders>
            <w:vAlign w:val="center"/>
          </w:tcPr>
          <w:p w14:paraId="7EA0BC13"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143.504</w:t>
            </w:r>
          </w:p>
        </w:tc>
        <w:tc>
          <w:tcPr>
            <w:tcW w:w="971" w:type="dxa"/>
            <w:tcBorders>
              <w:top w:val="single" w:sz="8" w:space="0" w:color="000000"/>
              <w:left w:val="single" w:sz="8" w:space="0" w:color="000000"/>
              <w:bottom w:val="single" w:sz="8" w:space="0" w:color="000000"/>
              <w:right w:val="single" w:sz="8" w:space="0" w:color="000000"/>
            </w:tcBorders>
            <w:vAlign w:val="center"/>
          </w:tcPr>
          <w:p w14:paraId="775C149E"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1,81%</w:t>
            </w:r>
          </w:p>
        </w:tc>
      </w:tr>
      <w:tr w:rsidR="009F762E" w:rsidRPr="00242DFB" w14:paraId="1C5CBEE2" w14:textId="77777777" w:rsidTr="00C0747A">
        <w:trPr>
          <w:cantSplit/>
          <w:trHeight w:val="144"/>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06377E14" w14:textId="77777777" w:rsidR="009F762E" w:rsidRPr="00242DFB" w:rsidRDefault="00000000" w:rsidP="002A0E52">
            <w:pPr>
              <w:spacing w:line="360" w:lineRule="auto"/>
              <w:rPr>
                <w:rFonts w:ascii="Arial" w:hAnsi="Arial" w:cs="Arial"/>
                <w:color w:val="000000" w:themeColor="text1"/>
                <w:sz w:val="22"/>
                <w:szCs w:val="22"/>
              </w:rPr>
            </w:pPr>
            <w:r w:rsidRPr="00242DFB">
              <w:rPr>
                <w:rFonts w:ascii="Arial" w:eastAsia="Arial" w:hAnsi="Arial" w:cs="Arial"/>
                <w:color w:val="000000" w:themeColor="text1"/>
                <w:sz w:val="22"/>
                <w:szCs w:val="22"/>
              </w:rPr>
              <w:t>OTRAS EPS</w:t>
            </w:r>
          </w:p>
        </w:tc>
        <w:tc>
          <w:tcPr>
            <w:tcW w:w="1581" w:type="dxa"/>
            <w:tcBorders>
              <w:top w:val="single" w:sz="8" w:space="0" w:color="000000"/>
              <w:left w:val="single" w:sz="8" w:space="0" w:color="000000"/>
              <w:bottom w:val="single" w:sz="8" w:space="0" w:color="000000"/>
              <w:right w:val="single" w:sz="8" w:space="0" w:color="000000"/>
            </w:tcBorders>
            <w:vAlign w:val="center"/>
          </w:tcPr>
          <w:p w14:paraId="19EC6A48"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9.750</w:t>
            </w:r>
          </w:p>
        </w:tc>
        <w:tc>
          <w:tcPr>
            <w:tcW w:w="1447" w:type="dxa"/>
            <w:tcBorders>
              <w:top w:val="single" w:sz="8" w:space="0" w:color="000000"/>
              <w:left w:val="single" w:sz="8" w:space="0" w:color="000000"/>
              <w:bottom w:val="single" w:sz="8" w:space="0" w:color="000000"/>
              <w:right w:val="single" w:sz="8" w:space="0" w:color="000000"/>
            </w:tcBorders>
            <w:vAlign w:val="center"/>
          </w:tcPr>
          <w:p w14:paraId="1DB61BA8"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0,17%</w:t>
            </w:r>
          </w:p>
        </w:tc>
        <w:tc>
          <w:tcPr>
            <w:tcW w:w="1448" w:type="dxa"/>
            <w:tcBorders>
              <w:top w:val="single" w:sz="8" w:space="0" w:color="000000"/>
              <w:left w:val="single" w:sz="8" w:space="0" w:color="000000"/>
              <w:bottom w:val="single" w:sz="8" w:space="0" w:color="000000"/>
              <w:right w:val="single" w:sz="8" w:space="0" w:color="000000"/>
            </w:tcBorders>
            <w:vAlign w:val="center"/>
          </w:tcPr>
          <w:p w14:paraId="6E4FCB27"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25.973</w:t>
            </w:r>
          </w:p>
        </w:tc>
        <w:tc>
          <w:tcPr>
            <w:tcW w:w="1317" w:type="dxa"/>
            <w:tcBorders>
              <w:top w:val="single" w:sz="8" w:space="0" w:color="000000"/>
              <w:left w:val="single" w:sz="8" w:space="0" w:color="000000"/>
              <w:bottom w:val="single" w:sz="8" w:space="0" w:color="000000"/>
              <w:right w:val="single" w:sz="8" w:space="0" w:color="000000"/>
            </w:tcBorders>
            <w:vAlign w:val="center"/>
          </w:tcPr>
          <w:p w14:paraId="0631902E"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1,48%</w:t>
            </w:r>
          </w:p>
        </w:tc>
        <w:tc>
          <w:tcPr>
            <w:tcW w:w="1091" w:type="dxa"/>
            <w:tcBorders>
              <w:top w:val="single" w:sz="8" w:space="0" w:color="000000"/>
              <w:left w:val="single" w:sz="8" w:space="0" w:color="000000"/>
              <w:bottom w:val="single" w:sz="8" w:space="0" w:color="000000"/>
              <w:right w:val="single" w:sz="8" w:space="0" w:color="000000"/>
            </w:tcBorders>
            <w:vAlign w:val="center"/>
          </w:tcPr>
          <w:p w14:paraId="3674F5AD"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35.723</w:t>
            </w:r>
          </w:p>
        </w:tc>
        <w:tc>
          <w:tcPr>
            <w:tcW w:w="971" w:type="dxa"/>
            <w:tcBorders>
              <w:top w:val="single" w:sz="8" w:space="0" w:color="000000"/>
              <w:left w:val="single" w:sz="8" w:space="0" w:color="000000"/>
              <w:bottom w:val="single" w:sz="8" w:space="0" w:color="000000"/>
              <w:right w:val="single" w:sz="8" w:space="0" w:color="000000"/>
            </w:tcBorders>
            <w:vAlign w:val="center"/>
          </w:tcPr>
          <w:p w14:paraId="4001B3D5"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color w:val="000000" w:themeColor="text1"/>
                <w:sz w:val="22"/>
                <w:szCs w:val="22"/>
              </w:rPr>
              <w:t>0,45%</w:t>
            </w:r>
          </w:p>
        </w:tc>
      </w:tr>
      <w:tr w:rsidR="009F762E" w:rsidRPr="00242DFB" w14:paraId="67998B93" w14:textId="77777777" w:rsidTr="00C0747A">
        <w:trPr>
          <w:cantSplit/>
          <w:trHeight w:val="270"/>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2D13A909" w14:textId="77777777" w:rsidR="009F762E" w:rsidRPr="00242DFB" w:rsidRDefault="00000000" w:rsidP="002A0E52">
            <w:pPr>
              <w:spacing w:line="360" w:lineRule="auto"/>
              <w:rPr>
                <w:rFonts w:ascii="Arial" w:hAnsi="Arial" w:cs="Arial"/>
                <w:color w:val="000000" w:themeColor="text1"/>
                <w:sz w:val="22"/>
                <w:szCs w:val="22"/>
              </w:rPr>
            </w:pPr>
            <w:r w:rsidRPr="00242DFB">
              <w:rPr>
                <w:rFonts w:ascii="Arial" w:eastAsia="Arial" w:hAnsi="Arial" w:cs="Arial"/>
                <w:b/>
                <w:bCs/>
                <w:color w:val="000000" w:themeColor="text1"/>
                <w:sz w:val="22"/>
                <w:szCs w:val="22"/>
              </w:rPr>
              <w:t>Total</w:t>
            </w:r>
          </w:p>
        </w:tc>
        <w:tc>
          <w:tcPr>
            <w:tcW w:w="1581" w:type="dxa"/>
            <w:tcBorders>
              <w:top w:val="single" w:sz="8" w:space="0" w:color="000000"/>
              <w:left w:val="single" w:sz="8" w:space="0" w:color="000000"/>
              <w:bottom w:val="single" w:sz="8" w:space="0" w:color="000000"/>
              <w:right w:val="single" w:sz="8" w:space="0" w:color="000000"/>
            </w:tcBorders>
            <w:vAlign w:val="center"/>
          </w:tcPr>
          <w:p w14:paraId="66489C4D"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b/>
                <w:bCs/>
                <w:color w:val="000000" w:themeColor="text1"/>
                <w:sz w:val="22"/>
                <w:szCs w:val="22"/>
              </w:rPr>
              <w:t>6.026.606</w:t>
            </w:r>
          </w:p>
        </w:tc>
        <w:tc>
          <w:tcPr>
            <w:tcW w:w="1447" w:type="dxa"/>
            <w:tcBorders>
              <w:top w:val="single" w:sz="8" w:space="0" w:color="000000"/>
              <w:left w:val="single" w:sz="8" w:space="0" w:color="000000"/>
              <w:bottom w:val="single" w:sz="8" w:space="0" w:color="000000"/>
              <w:right w:val="single" w:sz="8" w:space="0" w:color="000000"/>
            </w:tcBorders>
            <w:vAlign w:val="center"/>
          </w:tcPr>
          <w:p w14:paraId="0AA1349B"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b/>
                <w:bCs/>
                <w:color w:val="000000" w:themeColor="text1"/>
                <w:sz w:val="22"/>
                <w:szCs w:val="22"/>
              </w:rPr>
              <w:t>100.00%</w:t>
            </w:r>
          </w:p>
        </w:tc>
        <w:tc>
          <w:tcPr>
            <w:tcW w:w="1448" w:type="dxa"/>
            <w:tcBorders>
              <w:top w:val="single" w:sz="8" w:space="0" w:color="000000"/>
              <w:left w:val="single" w:sz="8" w:space="0" w:color="000000"/>
              <w:bottom w:val="single" w:sz="8" w:space="0" w:color="000000"/>
              <w:right w:val="single" w:sz="8" w:space="0" w:color="000000"/>
            </w:tcBorders>
            <w:vAlign w:val="center"/>
          </w:tcPr>
          <w:p w14:paraId="656BD0BC"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b/>
                <w:bCs/>
                <w:color w:val="000000" w:themeColor="text1"/>
                <w:sz w:val="22"/>
                <w:szCs w:val="22"/>
              </w:rPr>
              <w:t>1.744.791</w:t>
            </w:r>
          </w:p>
        </w:tc>
        <w:tc>
          <w:tcPr>
            <w:tcW w:w="1317" w:type="dxa"/>
            <w:tcBorders>
              <w:top w:val="single" w:sz="8" w:space="0" w:color="000000"/>
              <w:left w:val="single" w:sz="8" w:space="0" w:color="000000"/>
              <w:bottom w:val="single" w:sz="8" w:space="0" w:color="000000"/>
              <w:right w:val="single" w:sz="8" w:space="0" w:color="000000"/>
            </w:tcBorders>
            <w:vAlign w:val="center"/>
          </w:tcPr>
          <w:p w14:paraId="74339F80"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b/>
                <w:bCs/>
                <w:color w:val="000000" w:themeColor="text1"/>
                <w:sz w:val="22"/>
                <w:szCs w:val="22"/>
              </w:rPr>
              <w:t>100,00%</w:t>
            </w:r>
          </w:p>
        </w:tc>
        <w:tc>
          <w:tcPr>
            <w:tcW w:w="1091" w:type="dxa"/>
            <w:tcBorders>
              <w:top w:val="single" w:sz="8" w:space="0" w:color="000000"/>
              <w:left w:val="single" w:sz="8" w:space="0" w:color="000000"/>
              <w:bottom w:val="single" w:sz="8" w:space="0" w:color="000000"/>
              <w:right w:val="single" w:sz="8" w:space="0" w:color="000000"/>
            </w:tcBorders>
            <w:vAlign w:val="center"/>
          </w:tcPr>
          <w:p w14:paraId="7B7ADE38"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b/>
                <w:bCs/>
                <w:color w:val="000000" w:themeColor="text1"/>
                <w:sz w:val="22"/>
                <w:szCs w:val="22"/>
              </w:rPr>
              <w:t>7.914.901</w:t>
            </w:r>
          </w:p>
        </w:tc>
        <w:tc>
          <w:tcPr>
            <w:tcW w:w="971" w:type="dxa"/>
            <w:tcBorders>
              <w:top w:val="single" w:sz="8" w:space="0" w:color="000000"/>
              <w:left w:val="single" w:sz="8" w:space="0" w:color="000000"/>
              <w:bottom w:val="single" w:sz="8" w:space="0" w:color="000000"/>
              <w:right w:val="single" w:sz="8" w:space="0" w:color="000000"/>
            </w:tcBorders>
            <w:vAlign w:val="center"/>
          </w:tcPr>
          <w:p w14:paraId="33ABF9C3" w14:textId="77777777" w:rsidR="009F762E" w:rsidRPr="00242DFB" w:rsidRDefault="00000000" w:rsidP="002A0E52">
            <w:pPr>
              <w:spacing w:line="360" w:lineRule="auto"/>
              <w:jc w:val="right"/>
              <w:rPr>
                <w:rFonts w:ascii="Arial" w:hAnsi="Arial" w:cs="Arial"/>
                <w:color w:val="000000" w:themeColor="text1"/>
                <w:sz w:val="22"/>
                <w:szCs w:val="22"/>
              </w:rPr>
            </w:pPr>
            <w:r w:rsidRPr="00242DFB">
              <w:rPr>
                <w:rFonts w:ascii="Arial" w:eastAsia="Arial" w:hAnsi="Arial" w:cs="Arial"/>
                <w:b/>
                <w:bCs/>
                <w:color w:val="000000" w:themeColor="text1"/>
                <w:sz w:val="22"/>
                <w:szCs w:val="22"/>
              </w:rPr>
              <w:t>100,00%</w:t>
            </w:r>
          </w:p>
        </w:tc>
      </w:tr>
    </w:tbl>
    <w:p w14:paraId="088C6929" w14:textId="77777777" w:rsidR="009F762E" w:rsidRPr="00242DFB" w:rsidRDefault="00000000" w:rsidP="002A0E52">
      <w:pPr>
        <w:spacing w:line="360" w:lineRule="auto"/>
        <w:jc w:val="both"/>
        <w:rPr>
          <w:rFonts w:ascii="Arial" w:eastAsia="Arial" w:hAnsi="Arial" w:cs="Arial"/>
          <w:color w:val="000000" w:themeColor="text1"/>
          <w:sz w:val="16"/>
          <w:szCs w:val="16"/>
        </w:rPr>
      </w:pPr>
      <w:r w:rsidRPr="00242DFB">
        <w:rPr>
          <w:rFonts w:ascii="Arial" w:eastAsia="Arial" w:hAnsi="Arial" w:cs="Arial"/>
          <w:color w:val="000000"/>
          <w:sz w:val="16"/>
          <w:szCs w:val="16"/>
        </w:rPr>
        <w:t>Fuentes: Contributivo BDUA - ADRES, corte a 26 de mayo de 2026.- Subsidiado BDUA - ADRES, corte a 26 de mayo de 2026.</w:t>
      </w:r>
      <w:r w:rsidRPr="00242DFB">
        <w:rPr>
          <w:rFonts w:ascii="Arial" w:hAnsi="Arial" w:cs="Arial"/>
          <w:color w:val="000000"/>
          <w:sz w:val="16"/>
          <w:szCs w:val="16"/>
        </w:rPr>
        <w:t xml:space="preserve"> </w:t>
      </w:r>
      <w:hyperlink r:id="rId12">
        <w:r w:rsidRPr="00242DFB">
          <w:rPr>
            <w:rStyle w:val="Hipervnculo"/>
            <w:rFonts w:ascii="Arial" w:eastAsia="Arial" w:hAnsi="Arial" w:cs="Arial"/>
            <w:color w:val="000000" w:themeColor="text1"/>
            <w:sz w:val="16"/>
            <w:szCs w:val="16"/>
          </w:rPr>
          <w:t>https://public.tableau.com/app/profile/minsaludcol/viz/CifrasAseguramientoenSalud_16166927767750/Aseguramiento</w:t>
        </w:r>
      </w:hyperlink>
    </w:p>
    <w:p w14:paraId="0DAB0CCF" w14:textId="77777777" w:rsidR="009F762E" w:rsidRPr="00242DFB" w:rsidRDefault="009F762E" w:rsidP="002A0E52">
      <w:pPr>
        <w:spacing w:line="360" w:lineRule="auto"/>
        <w:rPr>
          <w:rFonts w:ascii="Arial" w:hAnsi="Arial" w:cs="Arial"/>
          <w:color w:val="000000" w:themeColor="text1"/>
        </w:rPr>
      </w:pPr>
    </w:p>
    <w:p w14:paraId="76171C8A" w14:textId="77777777" w:rsidR="009F762E" w:rsidRPr="00242DFB" w:rsidRDefault="00000000" w:rsidP="002A0E52">
      <w:pPr>
        <w:spacing w:line="360" w:lineRule="auto"/>
        <w:jc w:val="both"/>
        <w:rPr>
          <w:rFonts w:ascii="Arial" w:eastAsia="Arial" w:hAnsi="Arial" w:cs="Arial"/>
          <w:bCs/>
          <w:color w:val="000000" w:themeColor="text1"/>
        </w:rPr>
      </w:pPr>
      <w:r w:rsidRPr="00242DFB">
        <w:rPr>
          <w:rFonts w:ascii="Arial" w:hAnsi="Arial" w:cs="Arial"/>
          <w:color w:val="000000"/>
        </w:rPr>
        <w:t>Capital Salud EPS-S en Bogotá D.C., con corte a diciembre de 2025 y de acuerdo con la información consolidada en este informe, registra 900.152 afiliados. De este total, 838.191 corresponden al régimen subsidiado, equivalentes al 93,12%, y 61.961 al régimen contributivo, equivalentes al 6,88%. Esta composición confirma el predominio del régimen subsidiado dentro de la población afiliada de la entidad en la ciudad y orienta el análisis hacia condiciones de vulnerabilidad, acceso efectivo, continuidad de la atención y gestión territorial del riesgo en salud.</w:t>
      </w:r>
    </w:p>
    <w:p w14:paraId="6FAED4F0" w14:textId="77777777" w:rsidR="009F762E" w:rsidRPr="00242DFB" w:rsidRDefault="009F762E" w:rsidP="002A0E52">
      <w:pPr>
        <w:spacing w:line="360" w:lineRule="auto"/>
        <w:jc w:val="both"/>
        <w:rPr>
          <w:rFonts w:ascii="Arial" w:eastAsia="Arial" w:hAnsi="Arial" w:cs="Arial"/>
          <w:bCs/>
          <w:color w:val="000000" w:themeColor="text1"/>
        </w:rPr>
      </w:pPr>
    </w:p>
    <w:p w14:paraId="212BF04D"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bCs/>
          <w:color w:val="000000"/>
        </w:rPr>
        <w:t>Esta distribución porcentual implica que la lectura de suficiencia de red, oportunidad de citas, suministro de medicamentos y resultados en salud debe priorizar los territorios con mayor concentración de población subsidiada, así como las localidades donde se identifican brechas de acceso, mayor carga de PQRS y menor disponibilidad relativa de servicios.</w:t>
      </w:r>
    </w:p>
    <w:p w14:paraId="2DAE9037" w14:textId="77777777" w:rsidR="009F762E" w:rsidRPr="00242DFB" w:rsidRDefault="009F762E" w:rsidP="002A0E52">
      <w:pPr>
        <w:spacing w:line="360" w:lineRule="auto"/>
        <w:jc w:val="both"/>
        <w:rPr>
          <w:rFonts w:ascii="Arial" w:eastAsia="Arial" w:hAnsi="Arial" w:cs="Arial"/>
          <w:b/>
          <w:bCs/>
          <w:color w:val="000000" w:themeColor="text1"/>
        </w:rPr>
      </w:pPr>
    </w:p>
    <w:p w14:paraId="1CDF6A72" w14:textId="50461684" w:rsidR="009F762E" w:rsidRPr="00242DFB" w:rsidRDefault="00000000" w:rsidP="002A0E52">
      <w:pPr>
        <w:spacing w:line="360" w:lineRule="auto"/>
        <w:rPr>
          <w:rFonts w:ascii="Arial" w:eastAsia="Arial" w:hAnsi="Arial" w:cs="Arial"/>
          <w:color w:val="000000"/>
        </w:rPr>
      </w:pPr>
      <w:r w:rsidRPr="00242DFB">
        <w:rPr>
          <w:rFonts w:ascii="Arial" w:eastAsia="Arial" w:hAnsi="Arial" w:cs="Arial"/>
          <w:color w:val="000000"/>
        </w:rPr>
        <w:t xml:space="preserve">A continuación, la tabla </w:t>
      </w:r>
      <w:r w:rsidR="00C0747A" w:rsidRPr="00242DFB">
        <w:rPr>
          <w:rFonts w:ascii="Arial" w:eastAsia="Arial" w:hAnsi="Arial" w:cs="Arial"/>
          <w:color w:val="000000"/>
        </w:rPr>
        <w:t>4</w:t>
      </w:r>
      <w:r w:rsidRPr="00242DFB">
        <w:rPr>
          <w:rFonts w:ascii="Arial" w:eastAsia="Arial" w:hAnsi="Arial" w:cs="Arial"/>
          <w:color w:val="000000"/>
        </w:rPr>
        <w:t xml:space="preserve"> presenta la evolución de la afiliación de Capital Salud EPS-S entre 2021 y 2025, desagregada por régimen contributivo, subsidiado y total de afiliados.</w:t>
      </w:r>
    </w:p>
    <w:p w14:paraId="7F6746F0" w14:textId="77777777" w:rsidR="00C0747A" w:rsidRPr="00242DFB" w:rsidRDefault="00C0747A" w:rsidP="002A0E52">
      <w:pPr>
        <w:spacing w:line="360" w:lineRule="auto"/>
        <w:rPr>
          <w:rFonts w:ascii="Arial" w:eastAsia="Arial" w:hAnsi="Arial" w:cs="Arial"/>
          <w:color w:val="000000" w:themeColor="text1"/>
        </w:rPr>
      </w:pPr>
    </w:p>
    <w:p w14:paraId="4203506F" w14:textId="64C6EBDC" w:rsidR="009F762E" w:rsidRPr="00242DFB" w:rsidRDefault="009F762E" w:rsidP="00C0747A">
      <w:pPr>
        <w:spacing w:line="360" w:lineRule="auto"/>
        <w:jc w:val="center"/>
        <w:rPr>
          <w:rFonts w:ascii="Arial" w:eastAsia="Arial" w:hAnsi="Arial" w:cs="Arial"/>
          <w:bCs/>
          <w:sz w:val="36"/>
          <w:szCs w:val="36"/>
        </w:rPr>
      </w:pPr>
    </w:p>
    <w:p w14:paraId="5A21FC92" w14:textId="2375DF86" w:rsidR="00C0747A" w:rsidRPr="00242DFB" w:rsidRDefault="00C0747A" w:rsidP="00C0747A">
      <w:pPr>
        <w:pStyle w:val="Descripcin"/>
        <w:keepNext/>
        <w:jc w:val="center"/>
        <w:rPr>
          <w:rFonts w:ascii="Arial" w:hAnsi="Arial" w:cs="Arial"/>
          <w:color w:val="auto"/>
          <w:sz w:val="24"/>
          <w:szCs w:val="24"/>
        </w:rPr>
      </w:pPr>
      <w:r w:rsidRPr="00242DFB">
        <w:rPr>
          <w:rFonts w:ascii="Arial" w:hAnsi="Arial" w:cs="Arial"/>
          <w:color w:val="auto"/>
          <w:sz w:val="24"/>
          <w:szCs w:val="24"/>
        </w:rPr>
        <w:t xml:space="preserve">Tabla </w:t>
      </w:r>
      <w:r w:rsidRPr="00242DFB">
        <w:rPr>
          <w:rFonts w:ascii="Arial" w:hAnsi="Arial" w:cs="Arial"/>
          <w:color w:val="auto"/>
          <w:sz w:val="24"/>
          <w:szCs w:val="24"/>
        </w:rPr>
        <w:fldChar w:fldCharType="begin"/>
      </w:r>
      <w:r w:rsidRPr="00242DFB">
        <w:rPr>
          <w:rFonts w:ascii="Arial" w:hAnsi="Arial" w:cs="Arial"/>
          <w:color w:val="auto"/>
          <w:sz w:val="24"/>
          <w:szCs w:val="24"/>
        </w:rPr>
        <w:instrText xml:space="preserve"> SEQ Tabla \* ARABIC </w:instrText>
      </w:r>
      <w:r w:rsidRPr="00242DFB">
        <w:rPr>
          <w:rFonts w:ascii="Arial" w:hAnsi="Arial" w:cs="Arial"/>
          <w:color w:val="auto"/>
          <w:sz w:val="24"/>
          <w:szCs w:val="24"/>
        </w:rPr>
        <w:fldChar w:fldCharType="separate"/>
      </w:r>
      <w:r w:rsidR="00B1210D">
        <w:rPr>
          <w:rFonts w:ascii="Arial" w:hAnsi="Arial" w:cs="Arial"/>
          <w:noProof/>
          <w:color w:val="auto"/>
          <w:sz w:val="24"/>
          <w:szCs w:val="24"/>
        </w:rPr>
        <w:t>4</w:t>
      </w:r>
      <w:r w:rsidRPr="00242DFB">
        <w:rPr>
          <w:rFonts w:ascii="Arial" w:hAnsi="Arial" w:cs="Arial"/>
          <w:color w:val="auto"/>
          <w:sz w:val="24"/>
          <w:szCs w:val="24"/>
        </w:rPr>
        <w:fldChar w:fldCharType="end"/>
      </w:r>
      <w:r w:rsidRPr="00242DFB">
        <w:rPr>
          <w:rFonts w:ascii="Arial" w:hAnsi="Arial" w:cs="Arial"/>
          <w:color w:val="auto"/>
          <w:sz w:val="24"/>
          <w:szCs w:val="24"/>
        </w:rPr>
        <w:t>. Total de población afiliada a Capital Salud EPS-S 2021-2025, Bogotá D.C.</w:t>
      </w:r>
    </w:p>
    <w:tbl>
      <w:tblPr>
        <w:tblW w:w="6641" w:type="dxa"/>
        <w:jc w:val="center"/>
        <w:tblLayout w:type="fixed"/>
        <w:tblCellMar>
          <w:top w:w="15" w:type="dxa"/>
          <w:left w:w="15" w:type="dxa"/>
          <w:right w:w="15" w:type="dxa"/>
        </w:tblCellMar>
        <w:tblLook w:val="06A0" w:firstRow="1" w:lastRow="0" w:firstColumn="1" w:lastColumn="0" w:noHBand="1" w:noVBand="1"/>
      </w:tblPr>
      <w:tblGrid>
        <w:gridCol w:w="1704"/>
        <w:gridCol w:w="933"/>
        <w:gridCol w:w="1027"/>
        <w:gridCol w:w="927"/>
        <w:gridCol w:w="1024"/>
        <w:gridCol w:w="1026"/>
      </w:tblGrid>
      <w:tr w:rsidR="009F762E" w:rsidRPr="00242DFB" w14:paraId="70D9AA6A" w14:textId="77777777" w:rsidTr="00C0747A">
        <w:trPr>
          <w:cantSplit/>
          <w:trHeight w:val="381"/>
          <w:jc w:val="center"/>
        </w:trPr>
        <w:tc>
          <w:tcPr>
            <w:tcW w:w="170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43194EF" w14:textId="77777777" w:rsidR="009F762E" w:rsidRPr="00242DFB" w:rsidRDefault="00000000" w:rsidP="00C0747A">
            <w:pPr>
              <w:spacing w:line="360" w:lineRule="auto"/>
              <w:jc w:val="center"/>
              <w:rPr>
                <w:rFonts w:ascii="Arial" w:hAnsi="Arial" w:cs="Arial"/>
                <w:b/>
                <w:bCs/>
                <w:color w:val="000000" w:themeColor="text1"/>
              </w:rPr>
            </w:pPr>
            <w:r w:rsidRPr="00242DFB">
              <w:rPr>
                <w:rFonts w:ascii="Arial" w:hAnsi="Arial" w:cs="Arial"/>
                <w:b/>
                <w:bCs/>
              </w:rPr>
              <w:t>Capital Salud</w:t>
            </w:r>
          </w:p>
        </w:tc>
        <w:tc>
          <w:tcPr>
            <w:tcW w:w="93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D2B49CC" w14:textId="77777777" w:rsidR="009F762E" w:rsidRPr="00242DFB" w:rsidRDefault="00000000" w:rsidP="00C0747A">
            <w:pPr>
              <w:spacing w:line="360" w:lineRule="auto"/>
              <w:jc w:val="center"/>
              <w:rPr>
                <w:rFonts w:ascii="Arial" w:hAnsi="Arial" w:cs="Arial"/>
                <w:b/>
                <w:bCs/>
                <w:color w:val="000000" w:themeColor="text1"/>
              </w:rPr>
            </w:pPr>
            <w:r w:rsidRPr="00242DFB">
              <w:rPr>
                <w:rFonts w:ascii="Arial" w:eastAsia="Arial" w:hAnsi="Arial" w:cs="Arial"/>
                <w:b/>
                <w:bCs/>
                <w:color w:val="000000" w:themeColor="text1"/>
              </w:rPr>
              <w:t>2021</w:t>
            </w:r>
          </w:p>
        </w:tc>
        <w:tc>
          <w:tcPr>
            <w:tcW w:w="102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0BB0110" w14:textId="77777777" w:rsidR="009F762E" w:rsidRPr="00242DFB" w:rsidRDefault="00000000" w:rsidP="00C0747A">
            <w:pPr>
              <w:spacing w:line="360" w:lineRule="auto"/>
              <w:jc w:val="center"/>
              <w:rPr>
                <w:rFonts w:ascii="Arial" w:hAnsi="Arial" w:cs="Arial"/>
                <w:b/>
                <w:bCs/>
                <w:color w:val="000000" w:themeColor="text1"/>
              </w:rPr>
            </w:pPr>
            <w:r w:rsidRPr="00242DFB">
              <w:rPr>
                <w:rFonts w:ascii="Arial" w:eastAsia="Arial" w:hAnsi="Arial" w:cs="Arial"/>
                <w:b/>
                <w:bCs/>
                <w:color w:val="000000" w:themeColor="text1"/>
              </w:rPr>
              <w:t>2022</w:t>
            </w:r>
          </w:p>
        </w:tc>
        <w:tc>
          <w:tcPr>
            <w:tcW w:w="92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1247024" w14:textId="77777777" w:rsidR="009F762E" w:rsidRPr="00242DFB" w:rsidRDefault="00000000" w:rsidP="00C0747A">
            <w:pPr>
              <w:spacing w:line="360" w:lineRule="auto"/>
              <w:jc w:val="center"/>
              <w:rPr>
                <w:rFonts w:ascii="Arial" w:hAnsi="Arial" w:cs="Arial"/>
                <w:b/>
                <w:bCs/>
                <w:color w:val="000000" w:themeColor="text1"/>
              </w:rPr>
            </w:pPr>
            <w:r w:rsidRPr="00242DFB">
              <w:rPr>
                <w:rFonts w:ascii="Arial" w:eastAsia="Arial" w:hAnsi="Arial" w:cs="Arial"/>
                <w:b/>
                <w:bCs/>
                <w:color w:val="000000" w:themeColor="text1"/>
              </w:rPr>
              <w:t>2023</w:t>
            </w:r>
          </w:p>
        </w:tc>
        <w:tc>
          <w:tcPr>
            <w:tcW w:w="102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DEF1129" w14:textId="77777777" w:rsidR="009F762E" w:rsidRPr="00242DFB" w:rsidRDefault="00000000" w:rsidP="00C0747A">
            <w:pPr>
              <w:spacing w:line="360" w:lineRule="auto"/>
              <w:jc w:val="center"/>
              <w:rPr>
                <w:rFonts w:ascii="Arial" w:hAnsi="Arial" w:cs="Arial"/>
                <w:b/>
                <w:bCs/>
                <w:color w:val="000000" w:themeColor="text1"/>
              </w:rPr>
            </w:pPr>
            <w:r w:rsidRPr="00242DFB">
              <w:rPr>
                <w:rFonts w:ascii="Arial" w:eastAsia="Arial" w:hAnsi="Arial" w:cs="Arial"/>
                <w:b/>
                <w:bCs/>
                <w:color w:val="000000" w:themeColor="text1"/>
              </w:rPr>
              <w:t>2024</w:t>
            </w:r>
          </w:p>
        </w:tc>
        <w:tc>
          <w:tcPr>
            <w:tcW w:w="10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77223F0" w14:textId="77777777" w:rsidR="009F762E" w:rsidRPr="00242DFB" w:rsidRDefault="00000000" w:rsidP="00C0747A">
            <w:pPr>
              <w:spacing w:line="360" w:lineRule="auto"/>
              <w:jc w:val="center"/>
              <w:rPr>
                <w:rFonts w:ascii="Arial" w:hAnsi="Arial" w:cs="Arial"/>
                <w:b/>
                <w:bCs/>
                <w:color w:val="000000" w:themeColor="text1"/>
              </w:rPr>
            </w:pPr>
            <w:r w:rsidRPr="00242DFB">
              <w:rPr>
                <w:rFonts w:ascii="Arial" w:eastAsia="Arial" w:hAnsi="Arial" w:cs="Arial"/>
                <w:b/>
                <w:bCs/>
                <w:color w:val="000000" w:themeColor="text1"/>
              </w:rPr>
              <w:t>2025</w:t>
            </w:r>
          </w:p>
        </w:tc>
      </w:tr>
      <w:tr w:rsidR="009F762E" w:rsidRPr="00242DFB" w14:paraId="32ED4DE7" w14:textId="77777777" w:rsidTr="00C0747A">
        <w:trPr>
          <w:cantSplit/>
          <w:trHeight w:val="69"/>
          <w:jc w:val="center"/>
        </w:trPr>
        <w:tc>
          <w:tcPr>
            <w:tcW w:w="170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96BAB00"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Contributivo</w:t>
            </w:r>
          </w:p>
        </w:tc>
        <w:tc>
          <w:tcPr>
            <w:tcW w:w="93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28C2100"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color w:val="000000" w:themeColor="text1"/>
              </w:rPr>
              <w:t>63.365</w:t>
            </w:r>
          </w:p>
        </w:tc>
        <w:tc>
          <w:tcPr>
            <w:tcW w:w="102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4DADC76"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color w:val="000000" w:themeColor="text1"/>
              </w:rPr>
              <w:t>78.589</w:t>
            </w:r>
          </w:p>
        </w:tc>
        <w:tc>
          <w:tcPr>
            <w:tcW w:w="92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B485E14"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color w:val="000000" w:themeColor="text1"/>
              </w:rPr>
              <w:t>59.112</w:t>
            </w:r>
          </w:p>
        </w:tc>
        <w:tc>
          <w:tcPr>
            <w:tcW w:w="102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24DFC7C"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color w:val="000000" w:themeColor="text1"/>
              </w:rPr>
              <w:t>58.140</w:t>
            </w:r>
          </w:p>
        </w:tc>
        <w:tc>
          <w:tcPr>
            <w:tcW w:w="10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4DBE501"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color w:val="000000" w:themeColor="text1"/>
              </w:rPr>
              <w:t>61.961</w:t>
            </w:r>
          </w:p>
        </w:tc>
      </w:tr>
      <w:tr w:rsidR="009F762E" w:rsidRPr="00242DFB" w14:paraId="6A317887" w14:textId="77777777" w:rsidTr="00C0747A">
        <w:trPr>
          <w:cantSplit/>
          <w:trHeight w:val="381"/>
          <w:jc w:val="center"/>
        </w:trPr>
        <w:tc>
          <w:tcPr>
            <w:tcW w:w="170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4D2582E"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Subsidiado</w:t>
            </w:r>
          </w:p>
        </w:tc>
        <w:tc>
          <w:tcPr>
            <w:tcW w:w="93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48DBE92"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color w:val="000000" w:themeColor="text1"/>
              </w:rPr>
              <w:t>895.429</w:t>
            </w:r>
          </w:p>
        </w:tc>
        <w:tc>
          <w:tcPr>
            <w:tcW w:w="102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CD4A30E"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color w:val="000000" w:themeColor="text1"/>
              </w:rPr>
              <w:t>887.151</w:t>
            </w:r>
          </w:p>
        </w:tc>
        <w:tc>
          <w:tcPr>
            <w:tcW w:w="92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4803CE2"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color w:val="000000" w:themeColor="text1"/>
              </w:rPr>
              <w:t>879.277</w:t>
            </w:r>
          </w:p>
        </w:tc>
        <w:tc>
          <w:tcPr>
            <w:tcW w:w="102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6AC7A0D"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color w:val="000000" w:themeColor="text1"/>
              </w:rPr>
              <w:t>818.621</w:t>
            </w:r>
          </w:p>
        </w:tc>
        <w:tc>
          <w:tcPr>
            <w:tcW w:w="10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1D3174C"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color w:val="000000" w:themeColor="text1"/>
              </w:rPr>
              <w:t>838.191</w:t>
            </w:r>
          </w:p>
        </w:tc>
      </w:tr>
      <w:tr w:rsidR="009F762E" w:rsidRPr="00242DFB" w14:paraId="1A776AAD" w14:textId="77777777" w:rsidTr="00C0747A">
        <w:trPr>
          <w:cantSplit/>
          <w:trHeight w:val="381"/>
          <w:jc w:val="center"/>
        </w:trPr>
        <w:tc>
          <w:tcPr>
            <w:tcW w:w="170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E9BC8C" w14:textId="0F098A95" w:rsidR="009F762E" w:rsidRPr="00242DFB" w:rsidRDefault="00C0747A" w:rsidP="002A0E52">
            <w:pPr>
              <w:spacing w:line="360" w:lineRule="auto"/>
              <w:rPr>
                <w:rFonts w:ascii="Arial" w:hAnsi="Arial" w:cs="Arial"/>
                <w:color w:val="000000" w:themeColor="text1"/>
              </w:rPr>
            </w:pPr>
            <w:r w:rsidRPr="00242DFB">
              <w:rPr>
                <w:rFonts w:ascii="Arial" w:hAnsi="Arial" w:cs="Arial"/>
              </w:rPr>
              <w:t>Total,</w:t>
            </w:r>
            <w:r w:rsidR="00000000" w:rsidRPr="00242DFB">
              <w:rPr>
                <w:rFonts w:ascii="Arial" w:hAnsi="Arial" w:cs="Arial"/>
              </w:rPr>
              <w:t xml:space="preserve"> afiliados</w:t>
            </w:r>
          </w:p>
        </w:tc>
        <w:tc>
          <w:tcPr>
            <w:tcW w:w="93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FF2F0BE"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b/>
                <w:bCs/>
                <w:color w:val="000000" w:themeColor="text1"/>
              </w:rPr>
              <w:t>958.794</w:t>
            </w:r>
          </w:p>
        </w:tc>
        <w:tc>
          <w:tcPr>
            <w:tcW w:w="102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60A9778"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b/>
                <w:bCs/>
                <w:color w:val="000000" w:themeColor="text1"/>
              </w:rPr>
              <w:t>965.740</w:t>
            </w:r>
          </w:p>
        </w:tc>
        <w:tc>
          <w:tcPr>
            <w:tcW w:w="92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F61A664"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b/>
                <w:bCs/>
                <w:color w:val="000000" w:themeColor="text1"/>
              </w:rPr>
              <w:t>938.389</w:t>
            </w:r>
          </w:p>
        </w:tc>
        <w:tc>
          <w:tcPr>
            <w:tcW w:w="102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0393553"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b/>
                <w:bCs/>
                <w:color w:val="000000" w:themeColor="text1"/>
              </w:rPr>
              <w:t>876.761</w:t>
            </w:r>
          </w:p>
        </w:tc>
        <w:tc>
          <w:tcPr>
            <w:tcW w:w="10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DBF99AD" w14:textId="77777777" w:rsidR="009F762E" w:rsidRPr="00242DFB" w:rsidRDefault="00000000" w:rsidP="002A0E52">
            <w:pPr>
              <w:spacing w:line="360" w:lineRule="auto"/>
              <w:jc w:val="right"/>
              <w:rPr>
                <w:rFonts w:ascii="Arial" w:hAnsi="Arial" w:cs="Arial"/>
                <w:color w:val="000000" w:themeColor="text1"/>
              </w:rPr>
            </w:pPr>
            <w:r w:rsidRPr="00242DFB">
              <w:rPr>
                <w:rFonts w:ascii="Arial" w:eastAsia="Arial" w:hAnsi="Arial" w:cs="Arial"/>
                <w:b/>
                <w:bCs/>
                <w:color w:val="000000" w:themeColor="text1"/>
              </w:rPr>
              <w:t>900.152</w:t>
            </w:r>
          </w:p>
        </w:tc>
      </w:tr>
    </w:tbl>
    <w:p w14:paraId="724426BE" w14:textId="77777777" w:rsidR="009F762E" w:rsidRPr="00242DFB" w:rsidRDefault="00000000" w:rsidP="002A0E52">
      <w:pPr>
        <w:spacing w:line="360" w:lineRule="auto"/>
        <w:jc w:val="both"/>
        <w:rPr>
          <w:rFonts w:ascii="Arial" w:eastAsia="Arial" w:hAnsi="Arial" w:cs="Arial"/>
          <w:color w:val="000000" w:themeColor="text1"/>
          <w:sz w:val="16"/>
          <w:szCs w:val="16"/>
        </w:rPr>
      </w:pPr>
      <w:r w:rsidRPr="00242DFB">
        <w:rPr>
          <w:rFonts w:ascii="Arial" w:eastAsia="Arial" w:hAnsi="Arial" w:cs="Arial"/>
          <w:color w:val="000000"/>
          <w:sz w:val="16"/>
          <w:szCs w:val="16"/>
        </w:rPr>
        <w:t xml:space="preserve">Fuente: Ministerio de Salud y Protección Social. Cifras de afiliación en salud (Datos para descarga: “Cifras diciembre 2025”, corte a 31 de diciembre de 2025). Consultado el 26 de mayo de 2026 en </w:t>
      </w:r>
      <w:hyperlink r:id="rId13">
        <w:r w:rsidRPr="00242DFB">
          <w:rPr>
            <w:rStyle w:val="Hipervnculo"/>
            <w:rFonts w:ascii="Arial" w:eastAsia="Arial" w:hAnsi="Arial" w:cs="Arial"/>
            <w:color w:val="000000" w:themeColor="text1"/>
            <w:sz w:val="16"/>
            <w:szCs w:val="16"/>
          </w:rPr>
          <w:t>https://www.minsalud.gov.co/proteccionsocial/paginas/cifras-aseguramiento-salud.aspx</w:t>
        </w:r>
      </w:hyperlink>
    </w:p>
    <w:p w14:paraId="3B8F3432" w14:textId="77777777" w:rsidR="009F762E" w:rsidRPr="00242DFB" w:rsidRDefault="009F762E" w:rsidP="002A0E52">
      <w:pPr>
        <w:spacing w:line="360" w:lineRule="auto"/>
        <w:jc w:val="both"/>
        <w:rPr>
          <w:rFonts w:ascii="Arial" w:eastAsia="Arial" w:hAnsi="Arial" w:cs="Arial"/>
          <w:color w:val="000000" w:themeColor="text1"/>
        </w:rPr>
      </w:pPr>
    </w:p>
    <w:p w14:paraId="7FD22EAA"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Entre diciembre de 2021 y diciembre de 2025, la población afiliada de Capital Salud EPS-S en Bogotá D.C. presentó una disminución neta de 58.642 usuarios, al pasar de 958.794 afiliados en 2021 a 900.152 en 2025. El comportamiento no es lineal: se observa un leve aumento en 2022, seguido de descensos en 2023 y 2024, y una recuperación parcial en 2025. Esta dinámica puede estar asociada a movilidad entre EPS, depuración de bases de datos, traslados de afiliados y cambios en las condiciones de aseguramiento de la población.</w:t>
      </w:r>
    </w:p>
    <w:p w14:paraId="3D551B0E" w14:textId="77777777" w:rsidR="009F762E" w:rsidRPr="00242DFB" w:rsidRDefault="009F762E" w:rsidP="002A0E52">
      <w:pPr>
        <w:spacing w:line="360" w:lineRule="auto"/>
        <w:jc w:val="both"/>
        <w:rPr>
          <w:rFonts w:ascii="Arial" w:eastAsia="Arial" w:hAnsi="Arial" w:cs="Arial"/>
          <w:color w:val="000000" w:themeColor="text1"/>
        </w:rPr>
      </w:pPr>
    </w:p>
    <w:p w14:paraId="04FBC620"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Desde una lectura técnica, la recuperación observada en 2025 no compensa totalmente la reducción acumulada del periodo 2021-2024; por tanto, el análisis de red y resultados debe considerar no solo el volumen total de afiliados, sino también la concentración territorial, el perfil subsidiado de la población y la presión que ejercen las localidades con mayor carga de usuarios.</w:t>
      </w:r>
    </w:p>
    <w:p w14:paraId="49EC6B87" w14:textId="77777777" w:rsidR="009F762E" w:rsidRPr="00242DFB" w:rsidRDefault="009F762E" w:rsidP="002A0E52">
      <w:pPr>
        <w:spacing w:line="360" w:lineRule="auto"/>
        <w:jc w:val="both"/>
        <w:rPr>
          <w:rFonts w:ascii="Arial" w:eastAsia="Arial" w:hAnsi="Arial" w:cs="Arial"/>
          <w:color w:val="000000" w:themeColor="text1"/>
        </w:rPr>
      </w:pPr>
    </w:p>
    <w:p w14:paraId="6058E23D" w14:textId="7A8B5D72" w:rsidR="007E59AC" w:rsidRPr="00242DFB" w:rsidRDefault="007E59AC" w:rsidP="007E59AC">
      <w:pPr>
        <w:pStyle w:val="Descripcin"/>
        <w:keepNext/>
        <w:jc w:val="center"/>
        <w:rPr>
          <w:rFonts w:ascii="Arial" w:hAnsi="Arial" w:cs="Arial"/>
          <w:color w:val="auto"/>
          <w:sz w:val="24"/>
          <w:szCs w:val="24"/>
        </w:rPr>
      </w:pPr>
      <w:r w:rsidRPr="00242DFB">
        <w:rPr>
          <w:rFonts w:ascii="Arial" w:hAnsi="Arial" w:cs="Arial"/>
          <w:color w:val="auto"/>
          <w:sz w:val="24"/>
          <w:szCs w:val="24"/>
        </w:rPr>
        <w:lastRenderedPageBreak/>
        <w:t xml:space="preserve">Gráfica </w:t>
      </w:r>
      <w:r w:rsidRPr="00242DFB">
        <w:rPr>
          <w:rFonts w:ascii="Arial" w:hAnsi="Arial" w:cs="Arial"/>
          <w:color w:val="auto"/>
          <w:sz w:val="24"/>
          <w:szCs w:val="24"/>
        </w:rPr>
        <w:fldChar w:fldCharType="begin"/>
      </w:r>
      <w:r w:rsidRPr="00242DFB">
        <w:rPr>
          <w:rFonts w:ascii="Arial" w:hAnsi="Arial" w:cs="Arial"/>
          <w:color w:val="auto"/>
          <w:sz w:val="24"/>
          <w:szCs w:val="24"/>
        </w:rPr>
        <w:instrText xml:space="preserve"> SEQ Gráfica \* ARABIC </w:instrText>
      </w:r>
      <w:r w:rsidRPr="00242DFB">
        <w:rPr>
          <w:rFonts w:ascii="Arial" w:hAnsi="Arial" w:cs="Arial"/>
          <w:color w:val="auto"/>
          <w:sz w:val="24"/>
          <w:szCs w:val="24"/>
        </w:rPr>
        <w:fldChar w:fldCharType="separate"/>
      </w:r>
      <w:r w:rsidR="004F456A">
        <w:rPr>
          <w:rFonts w:ascii="Arial" w:hAnsi="Arial" w:cs="Arial"/>
          <w:noProof/>
          <w:color w:val="auto"/>
          <w:sz w:val="24"/>
          <w:szCs w:val="24"/>
        </w:rPr>
        <w:t>1</w:t>
      </w:r>
      <w:r w:rsidRPr="00242DFB">
        <w:rPr>
          <w:rFonts w:ascii="Arial" w:hAnsi="Arial" w:cs="Arial"/>
          <w:color w:val="auto"/>
          <w:sz w:val="24"/>
          <w:szCs w:val="24"/>
        </w:rPr>
        <w:fldChar w:fldCharType="end"/>
      </w:r>
      <w:r w:rsidRPr="00242DFB">
        <w:rPr>
          <w:rFonts w:ascii="Arial" w:hAnsi="Arial" w:cs="Arial"/>
          <w:color w:val="auto"/>
          <w:sz w:val="24"/>
          <w:szCs w:val="24"/>
        </w:rPr>
        <w:t>. Tendencia de afiliados Capital Salud EPS-S por régimen 2021-2025, Bogotá D.C.</w:t>
      </w:r>
    </w:p>
    <w:p w14:paraId="49A1B895" w14:textId="56A76E38" w:rsidR="009F762E" w:rsidRPr="00242DFB" w:rsidRDefault="00C0747A" w:rsidP="002A0E52">
      <w:pPr>
        <w:spacing w:line="360" w:lineRule="auto"/>
        <w:jc w:val="center"/>
        <w:rPr>
          <w:rFonts w:ascii="Arial" w:hAnsi="Arial" w:cs="Arial"/>
          <w:color w:val="000000" w:themeColor="text1"/>
        </w:rPr>
      </w:pPr>
      <w:r w:rsidRPr="00242DFB">
        <w:rPr>
          <w:rFonts w:ascii="Arial" w:hAnsi="Arial" w:cs="Arial"/>
          <w:noProof/>
        </w:rPr>
        <w:drawing>
          <wp:inline distT="0" distB="0" distL="0" distR="0" wp14:anchorId="703C5141" wp14:editId="52A2E9CB">
            <wp:extent cx="5612130" cy="2771775"/>
            <wp:effectExtent l="0" t="0" r="0" b="0"/>
            <wp:docPr id="12" name="Gráfico 12">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C3318D9" w14:textId="77777777" w:rsidR="009F762E" w:rsidRPr="00242DFB" w:rsidRDefault="00000000" w:rsidP="002A0E52">
      <w:pPr>
        <w:spacing w:line="360" w:lineRule="auto"/>
        <w:jc w:val="both"/>
        <w:rPr>
          <w:rFonts w:ascii="Arial" w:eastAsia="Arial" w:hAnsi="Arial" w:cs="Arial"/>
          <w:color w:val="000000" w:themeColor="text1"/>
          <w:sz w:val="16"/>
          <w:szCs w:val="16"/>
        </w:rPr>
      </w:pPr>
      <w:r w:rsidRPr="00242DFB">
        <w:rPr>
          <w:rFonts w:ascii="Arial" w:eastAsia="Arial" w:hAnsi="Arial" w:cs="Arial"/>
          <w:color w:val="000000"/>
          <w:sz w:val="16"/>
          <w:szCs w:val="16"/>
        </w:rPr>
        <w:t>Fuente: Ministerio de Salud y Protección Social. Cifras de afiliación en salud (Datos para descarga: “Cifras diciembre 2025”, corte a 31 de diciembre de 2025). Consultado el 25 de mayo de 2026 en https://www.minsalud.gov.co/proteccionsocial/paginas/cifras-aseguramiento-salud.aspx</w:t>
      </w:r>
    </w:p>
    <w:p w14:paraId="2F4D2C2D" w14:textId="77777777" w:rsidR="009F762E" w:rsidRPr="00242DFB" w:rsidRDefault="009F762E" w:rsidP="002A0E52">
      <w:pPr>
        <w:spacing w:line="360" w:lineRule="auto"/>
        <w:rPr>
          <w:rFonts w:ascii="Arial" w:hAnsi="Arial" w:cs="Arial"/>
          <w:color w:val="000000" w:themeColor="text1"/>
        </w:rPr>
      </w:pPr>
    </w:p>
    <w:p w14:paraId="3EA4910A"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hAnsi="Arial" w:cs="Arial"/>
          <w:color w:val="000000"/>
        </w:rPr>
        <w:t xml:space="preserve">En cuanto a la composición por sexo, la Gráfica 2 evidencia diferencias moderadas entre los dos regímenes de afiliación de Capital Salud EPS-S en Bogotá D.C. En el régimen subsidiado se observa predominio del sexo femenino, con 442.067 afiliadas, equivalentes al 52,74%, frente a 396.124 afiliados del sexo masculino, correspondientes al 47,26%. Por su parte, en el régimen contributivo el patrón se invierte: predominan los hombres, con 31.285 afiliados (50,49%), mientras que las mujeres representan 30.676 afiliadas (49,51%). </w:t>
      </w:r>
    </w:p>
    <w:p w14:paraId="4A5D0C8A"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 </w:t>
      </w:r>
    </w:p>
    <w:p w14:paraId="6EB6F727" w14:textId="77777777" w:rsidR="009F762E" w:rsidRPr="00242DFB" w:rsidRDefault="00000000" w:rsidP="002A0E52">
      <w:pPr>
        <w:spacing w:line="360" w:lineRule="auto"/>
        <w:jc w:val="both"/>
        <w:rPr>
          <w:rFonts w:ascii="Arial" w:eastAsia="Arial" w:hAnsi="Arial" w:cs="Arial"/>
          <w:color w:val="000000"/>
        </w:rPr>
      </w:pPr>
      <w:r w:rsidRPr="00242DFB">
        <w:rPr>
          <w:rFonts w:ascii="Arial" w:eastAsia="Arial" w:hAnsi="Arial" w:cs="Arial"/>
          <w:color w:val="000000"/>
        </w:rPr>
        <w:t>Aunque las brechas por sexo no son amplias, su identificación resulta relevante para orientar acciones de gestión del riesgo, demanda inducida, implementación de RIAS y estrategias de salud pública con mayor pertinencia, de acuerdo con el perfil poblacional de cada régimen.</w:t>
      </w:r>
    </w:p>
    <w:p w14:paraId="524C2D0C" w14:textId="77777777" w:rsidR="007E59AC" w:rsidRPr="00242DFB" w:rsidRDefault="007E59AC" w:rsidP="002A0E52">
      <w:pPr>
        <w:spacing w:line="360" w:lineRule="auto"/>
        <w:jc w:val="both"/>
        <w:rPr>
          <w:rFonts w:ascii="Arial" w:hAnsi="Arial" w:cs="Arial"/>
          <w:color w:val="000000" w:themeColor="text1"/>
        </w:rPr>
      </w:pPr>
    </w:p>
    <w:p w14:paraId="7C347805" w14:textId="665D5EC6" w:rsidR="009F762E" w:rsidRPr="00242DFB" w:rsidRDefault="009F762E" w:rsidP="002A0E52">
      <w:pPr>
        <w:spacing w:line="360" w:lineRule="auto"/>
        <w:jc w:val="center"/>
        <w:rPr>
          <w:rFonts w:ascii="Arial" w:eastAsia="Arial" w:hAnsi="Arial" w:cs="Arial"/>
          <w:color w:val="000000" w:themeColor="text1"/>
        </w:rPr>
      </w:pPr>
    </w:p>
    <w:p w14:paraId="3A3D48A9" w14:textId="77777777" w:rsidR="007E59AC" w:rsidRPr="00242DFB" w:rsidRDefault="007E59AC" w:rsidP="002A0E52">
      <w:pPr>
        <w:spacing w:line="360" w:lineRule="auto"/>
        <w:jc w:val="center"/>
        <w:rPr>
          <w:rFonts w:ascii="Arial" w:eastAsia="Arial" w:hAnsi="Arial" w:cs="Arial"/>
          <w:color w:val="000000" w:themeColor="text1"/>
        </w:rPr>
      </w:pPr>
    </w:p>
    <w:p w14:paraId="1C5F0CF4" w14:textId="221DDCBC" w:rsidR="007E59AC" w:rsidRPr="00242DFB" w:rsidRDefault="000B2422" w:rsidP="007E59AC">
      <w:pPr>
        <w:pStyle w:val="Descripcin"/>
        <w:keepNext/>
        <w:jc w:val="center"/>
        <w:rPr>
          <w:rFonts w:ascii="Arial" w:hAnsi="Arial" w:cs="Arial"/>
          <w:color w:val="auto"/>
          <w:sz w:val="24"/>
          <w:szCs w:val="24"/>
        </w:rPr>
      </w:pPr>
      <w:r w:rsidRPr="00242DFB">
        <w:rPr>
          <w:rFonts w:ascii="Arial" w:eastAsia="Arial" w:hAnsi="Arial" w:cs="Arial"/>
        </w:rPr>
        <w:lastRenderedPageBreak/>
        <w:drawing>
          <wp:anchor distT="0" distB="0" distL="114300" distR="114300" simplePos="0" relativeHeight="251659776" behindDoc="1" locked="0" layoutInCell="1" allowOverlap="1" wp14:anchorId="19CD662F" wp14:editId="5FC07022">
            <wp:simplePos x="0" y="0"/>
            <wp:positionH relativeFrom="column">
              <wp:posOffset>-661035</wp:posOffset>
            </wp:positionH>
            <wp:positionV relativeFrom="paragraph">
              <wp:posOffset>299720</wp:posOffset>
            </wp:positionV>
            <wp:extent cx="6781800" cy="4457700"/>
            <wp:effectExtent l="0" t="0" r="0" b="0"/>
            <wp:wrapTight wrapText="bothSides">
              <wp:wrapPolygon edited="0">
                <wp:start x="3155" y="0"/>
                <wp:lineTo x="2852" y="0"/>
                <wp:lineTo x="121" y="1385"/>
                <wp:lineTo x="121" y="19662"/>
                <wp:lineTo x="21539" y="19662"/>
                <wp:lineTo x="21539" y="0"/>
                <wp:lineTo x="14198" y="0"/>
                <wp:lineTo x="3155" y="0"/>
              </wp:wrapPolygon>
            </wp:wrapTight>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781800" cy="4457700"/>
                    </a:xfrm>
                    <a:prstGeom prst="rect">
                      <a:avLst/>
                    </a:prstGeom>
                    <a:noFill/>
                    <a:ln>
                      <a:noFill/>
                    </a:ln>
                  </pic:spPr>
                </pic:pic>
              </a:graphicData>
            </a:graphic>
            <wp14:sizeRelH relativeFrom="page">
              <wp14:pctWidth>0</wp14:pctWidth>
            </wp14:sizeRelH>
            <wp14:sizeRelV relativeFrom="page">
              <wp14:pctHeight>0</wp14:pctHeight>
            </wp14:sizeRelV>
          </wp:anchor>
        </w:drawing>
      </w:r>
      <w:r w:rsidR="007E59AC" w:rsidRPr="00242DFB">
        <w:rPr>
          <w:rFonts w:ascii="Arial" w:hAnsi="Arial" w:cs="Arial"/>
          <w:color w:val="auto"/>
          <w:sz w:val="24"/>
          <w:szCs w:val="24"/>
        </w:rPr>
        <w:t xml:space="preserve">Gráfica </w:t>
      </w:r>
      <w:r w:rsidR="007E59AC" w:rsidRPr="00242DFB">
        <w:rPr>
          <w:rFonts w:ascii="Arial" w:hAnsi="Arial" w:cs="Arial"/>
          <w:color w:val="auto"/>
          <w:sz w:val="24"/>
          <w:szCs w:val="24"/>
        </w:rPr>
        <w:fldChar w:fldCharType="begin"/>
      </w:r>
      <w:r w:rsidR="007E59AC" w:rsidRPr="00242DFB">
        <w:rPr>
          <w:rFonts w:ascii="Arial" w:hAnsi="Arial" w:cs="Arial"/>
          <w:color w:val="auto"/>
          <w:sz w:val="24"/>
          <w:szCs w:val="24"/>
        </w:rPr>
        <w:instrText xml:space="preserve"> SEQ Gráfica \* ARABIC </w:instrText>
      </w:r>
      <w:r w:rsidR="007E59AC" w:rsidRPr="00242DFB">
        <w:rPr>
          <w:rFonts w:ascii="Arial" w:hAnsi="Arial" w:cs="Arial"/>
          <w:color w:val="auto"/>
          <w:sz w:val="24"/>
          <w:szCs w:val="24"/>
        </w:rPr>
        <w:fldChar w:fldCharType="separate"/>
      </w:r>
      <w:r w:rsidR="004F456A">
        <w:rPr>
          <w:rFonts w:ascii="Arial" w:hAnsi="Arial" w:cs="Arial"/>
          <w:noProof/>
          <w:color w:val="auto"/>
          <w:sz w:val="24"/>
          <w:szCs w:val="24"/>
        </w:rPr>
        <w:t>2</w:t>
      </w:r>
      <w:r w:rsidR="007E59AC" w:rsidRPr="00242DFB">
        <w:rPr>
          <w:rFonts w:ascii="Arial" w:hAnsi="Arial" w:cs="Arial"/>
          <w:color w:val="auto"/>
          <w:sz w:val="24"/>
          <w:szCs w:val="24"/>
        </w:rPr>
        <w:fldChar w:fldCharType="end"/>
      </w:r>
      <w:r w:rsidR="007E59AC" w:rsidRPr="00242DFB">
        <w:rPr>
          <w:rFonts w:ascii="Arial" w:hAnsi="Arial" w:cs="Arial"/>
          <w:color w:val="auto"/>
          <w:sz w:val="24"/>
          <w:szCs w:val="24"/>
        </w:rPr>
        <w:t>. Afiliados por edad y género Capital Salud EPS – Bogotá D.C.</w:t>
      </w:r>
    </w:p>
    <w:p w14:paraId="36DC2EBD" w14:textId="075A600F" w:rsidR="007E59AC" w:rsidRPr="00242DFB" w:rsidRDefault="007E59AC" w:rsidP="000B2422">
      <w:pPr>
        <w:spacing w:line="360" w:lineRule="auto"/>
        <w:rPr>
          <w:rFonts w:ascii="Arial" w:eastAsia="Arial" w:hAnsi="Arial" w:cs="Arial"/>
          <w:color w:val="000000"/>
          <w:sz w:val="16"/>
          <w:szCs w:val="16"/>
        </w:rPr>
      </w:pPr>
    </w:p>
    <w:p w14:paraId="6370CB7B" w14:textId="61B9FAED" w:rsidR="009F762E" w:rsidRPr="00242DFB" w:rsidRDefault="00000000" w:rsidP="002A0E52">
      <w:pPr>
        <w:spacing w:line="360" w:lineRule="auto"/>
        <w:jc w:val="both"/>
        <w:rPr>
          <w:rFonts w:ascii="Arial" w:eastAsia="Arial" w:hAnsi="Arial" w:cs="Arial"/>
          <w:color w:val="000000" w:themeColor="text1"/>
          <w:sz w:val="16"/>
          <w:szCs w:val="16"/>
        </w:rPr>
      </w:pPr>
      <w:r w:rsidRPr="00242DFB">
        <w:rPr>
          <w:rFonts w:ascii="Arial" w:eastAsia="Arial" w:hAnsi="Arial" w:cs="Arial"/>
          <w:color w:val="000000"/>
          <w:sz w:val="16"/>
          <w:szCs w:val="16"/>
        </w:rPr>
        <w:t xml:space="preserve">Fuentes: Ministerio de Salud y Protección Social. Cifras de afiliación en salud, corte a 04-2026. </w:t>
      </w:r>
      <w:hyperlink r:id="rId16">
        <w:r w:rsidRPr="00242DFB">
          <w:rPr>
            <w:rStyle w:val="Hipervnculo"/>
            <w:rFonts w:ascii="Arial" w:eastAsia="Arial" w:hAnsi="Arial" w:cs="Arial"/>
            <w:color w:val="000000" w:themeColor="text1"/>
            <w:sz w:val="16"/>
            <w:szCs w:val="16"/>
          </w:rPr>
          <w:t>https://www.minsalud.gov.co/proteccionsocial/paginas/cifras-aseguramiento-salud.aspx</w:t>
        </w:r>
      </w:hyperlink>
      <w:r w:rsidRPr="00242DFB">
        <w:rPr>
          <w:rFonts w:ascii="Arial" w:eastAsia="Arial" w:hAnsi="Arial" w:cs="Arial"/>
          <w:color w:val="000000"/>
          <w:sz w:val="16"/>
          <w:szCs w:val="16"/>
        </w:rPr>
        <w:t xml:space="preserve"> </w:t>
      </w:r>
    </w:p>
    <w:p w14:paraId="793B10F6"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 </w:t>
      </w:r>
    </w:p>
    <w:p w14:paraId="6A06A10E"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Asimismo, la distribución por edad muestra que, en el régimen subsidiado, el grupo quinquenal con mayor concentración de afiliados corresponde al rango de 5 a 9 años, un total de 67.922 menores de edad; para esta población infantil se requiere actividades orientadas al crecimiento saludable, prevención de enfermedades, desarrollo emocional y adquisición de hábitos saludables. </w:t>
      </w:r>
    </w:p>
    <w:p w14:paraId="1B5D8150" w14:textId="77777777" w:rsidR="009F762E" w:rsidRPr="00242DFB" w:rsidRDefault="009F762E" w:rsidP="002A0E52">
      <w:pPr>
        <w:spacing w:line="360" w:lineRule="auto"/>
        <w:jc w:val="both"/>
        <w:rPr>
          <w:rFonts w:ascii="Arial" w:eastAsia="Arial" w:hAnsi="Arial" w:cs="Arial"/>
          <w:color w:val="000000" w:themeColor="text1"/>
        </w:rPr>
      </w:pPr>
    </w:p>
    <w:p w14:paraId="6D368AC3"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Para el caso del régimen contributivo, el rango con mayor representación es el de 20 a 24 años equivalente a 11.908 afiliados; lo que confirma una composición poblacional predominantemente joven. Este patrón sugiere la necesidad de fortalecer intervenciones orientadas a promoción de la salud, prevención temprana, detección oportuna de riesgos y adopción de estilos de vida saludables, sin perder </w:t>
      </w:r>
      <w:r w:rsidRPr="00242DFB">
        <w:rPr>
          <w:rFonts w:ascii="Arial" w:eastAsia="Arial" w:hAnsi="Arial" w:cs="Arial"/>
          <w:color w:val="000000"/>
        </w:rPr>
        <w:lastRenderedPageBreak/>
        <w:t>de vista que también existen grupos de mayor edad que demandan seguimiento clínico, continuidad en la atención y abordaje oportuno de condiciones crónicas.</w:t>
      </w:r>
    </w:p>
    <w:p w14:paraId="60765D97"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37F14259"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Teniendo en cuenta que la ciudad de Bogotá soporta la red contratada de media y alta complejidad de los municipios circunvecinos, para el caso del municipio de Soacha la Capital Salud EPS-S por los dos regímenes, entre 2021 a 2025, presentó un promedio anual de 7.613 afiliados, como se detalla en la siguiente tabla:</w:t>
      </w:r>
    </w:p>
    <w:p w14:paraId="1C17AB9A" w14:textId="3574AEB0" w:rsidR="009F762E" w:rsidRPr="00242DFB" w:rsidRDefault="00000000" w:rsidP="00C14D90">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 </w:t>
      </w:r>
    </w:p>
    <w:p w14:paraId="690C9318" w14:textId="67E8CF4A" w:rsidR="00E117C1" w:rsidRPr="00242DFB" w:rsidRDefault="00E117C1" w:rsidP="00E117C1">
      <w:pPr>
        <w:pStyle w:val="Descripcin"/>
        <w:keepNext/>
        <w:rPr>
          <w:rFonts w:ascii="Arial" w:hAnsi="Arial" w:cs="Arial"/>
          <w:color w:val="auto"/>
          <w:sz w:val="24"/>
          <w:szCs w:val="24"/>
        </w:rPr>
      </w:pPr>
      <w:r w:rsidRPr="00242DFB">
        <w:rPr>
          <w:rFonts w:ascii="Arial" w:hAnsi="Arial" w:cs="Arial"/>
          <w:color w:val="auto"/>
          <w:sz w:val="24"/>
          <w:szCs w:val="24"/>
        </w:rPr>
        <w:t xml:space="preserve">Tabla </w:t>
      </w:r>
      <w:r w:rsidRPr="00242DFB">
        <w:rPr>
          <w:rFonts w:ascii="Arial" w:hAnsi="Arial" w:cs="Arial"/>
          <w:color w:val="auto"/>
          <w:sz w:val="24"/>
          <w:szCs w:val="24"/>
        </w:rPr>
        <w:fldChar w:fldCharType="begin"/>
      </w:r>
      <w:r w:rsidRPr="00242DFB">
        <w:rPr>
          <w:rFonts w:ascii="Arial" w:hAnsi="Arial" w:cs="Arial"/>
          <w:color w:val="auto"/>
          <w:sz w:val="24"/>
          <w:szCs w:val="24"/>
        </w:rPr>
        <w:instrText xml:space="preserve"> SEQ Tabla \* ARABIC </w:instrText>
      </w:r>
      <w:r w:rsidRPr="00242DFB">
        <w:rPr>
          <w:rFonts w:ascii="Arial" w:hAnsi="Arial" w:cs="Arial"/>
          <w:color w:val="auto"/>
          <w:sz w:val="24"/>
          <w:szCs w:val="24"/>
        </w:rPr>
        <w:fldChar w:fldCharType="separate"/>
      </w:r>
      <w:r w:rsidR="00B1210D">
        <w:rPr>
          <w:rFonts w:ascii="Arial" w:hAnsi="Arial" w:cs="Arial"/>
          <w:noProof/>
          <w:color w:val="auto"/>
          <w:sz w:val="24"/>
          <w:szCs w:val="24"/>
        </w:rPr>
        <w:t>5</w:t>
      </w:r>
      <w:r w:rsidRPr="00242DFB">
        <w:rPr>
          <w:rFonts w:ascii="Arial" w:hAnsi="Arial" w:cs="Arial"/>
          <w:color w:val="auto"/>
          <w:sz w:val="24"/>
          <w:szCs w:val="24"/>
        </w:rPr>
        <w:fldChar w:fldCharType="end"/>
      </w:r>
      <w:r w:rsidRPr="00242DFB">
        <w:rPr>
          <w:rFonts w:ascii="Arial" w:hAnsi="Arial" w:cs="Arial"/>
          <w:color w:val="auto"/>
          <w:sz w:val="24"/>
          <w:szCs w:val="24"/>
        </w:rPr>
        <w:t xml:space="preserve">. </w:t>
      </w:r>
      <w:r w:rsidRPr="00242DFB">
        <w:rPr>
          <w:rFonts w:ascii="Arial" w:hAnsi="Arial" w:cs="Arial"/>
          <w:color w:val="auto"/>
          <w:sz w:val="24"/>
          <w:szCs w:val="24"/>
        </w:rPr>
        <w:t>Afiliados Capital Salud EPS-S en Soacha por régimen 2021-2025</w:t>
      </w:r>
    </w:p>
    <w:tbl>
      <w:tblPr>
        <w:tblStyle w:val="Tablaconcuadrcula"/>
        <w:tblW w:w="9285" w:type="dxa"/>
        <w:jc w:val="center"/>
        <w:tblLayout w:type="fixed"/>
        <w:tblCellMar>
          <w:top w:w="15" w:type="dxa"/>
          <w:left w:w="15" w:type="dxa"/>
          <w:right w:w="15" w:type="dxa"/>
        </w:tblCellMar>
        <w:tblLook w:val="06A0" w:firstRow="1" w:lastRow="0" w:firstColumn="1" w:lastColumn="0" w:noHBand="1" w:noVBand="1"/>
      </w:tblPr>
      <w:tblGrid>
        <w:gridCol w:w="1280"/>
        <w:gridCol w:w="788"/>
        <w:gridCol w:w="942"/>
        <w:gridCol w:w="761"/>
        <w:gridCol w:w="719"/>
        <w:gridCol w:w="788"/>
        <w:gridCol w:w="786"/>
        <w:gridCol w:w="788"/>
        <w:gridCol w:w="716"/>
        <w:gridCol w:w="771"/>
        <w:gridCol w:w="946"/>
      </w:tblGrid>
      <w:tr w:rsidR="009F762E" w:rsidRPr="00242DFB" w14:paraId="78161C12" w14:textId="77777777" w:rsidTr="00E117C1">
        <w:trPr>
          <w:cantSplit/>
          <w:trHeight w:val="221"/>
          <w:jc w:val="center"/>
        </w:trPr>
        <w:tc>
          <w:tcPr>
            <w:tcW w:w="1280" w:type="dxa"/>
            <w:vMerge w:val="restart"/>
            <w:tcBorders>
              <w:right w:val="single" w:sz="8" w:space="0" w:color="000000"/>
            </w:tcBorders>
            <w:vAlign w:val="center"/>
          </w:tcPr>
          <w:p w14:paraId="531EFA6D"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Municipio</w:t>
            </w:r>
            <w:r w:rsidRPr="00242DFB">
              <w:rPr>
                <w:rFonts w:ascii="Arial" w:eastAsia="Arial" w:hAnsi="Arial" w:cs="Arial"/>
                <w:color w:val="000000" w:themeColor="text1"/>
                <w:kern w:val="2"/>
              </w:rPr>
              <w:t xml:space="preserve"> </w:t>
            </w:r>
          </w:p>
        </w:tc>
        <w:tc>
          <w:tcPr>
            <w:tcW w:w="1730" w:type="dxa"/>
            <w:gridSpan w:val="2"/>
            <w:tcBorders>
              <w:left w:val="single" w:sz="8" w:space="0" w:color="000000"/>
              <w:bottom w:val="single" w:sz="8" w:space="0" w:color="000000"/>
              <w:right w:val="single" w:sz="8" w:space="0" w:color="000000"/>
            </w:tcBorders>
            <w:vAlign w:val="center"/>
          </w:tcPr>
          <w:p w14:paraId="667A0C60"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2021</w:t>
            </w:r>
            <w:r w:rsidRPr="00242DFB">
              <w:rPr>
                <w:rFonts w:ascii="Arial" w:eastAsia="Arial" w:hAnsi="Arial" w:cs="Arial"/>
                <w:color w:val="000000" w:themeColor="text1"/>
                <w:kern w:val="2"/>
              </w:rPr>
              <w:t xml:space="preserve"> </w:t>
            </w:r>
          </w:p>
        </w:tc>
        <w:tc>
          <w:tcPr>
            <w:tcW w:w="1480" w:type="dxa"/>
            <w:gridSpan w:val="2"/>
            <w:tcBorders>
              <w:left w:val="nil"/>
              <w:bottom w:val="single" w:sz="8" w:space="0" w:color="000000"/>
              <w:right w:val="single" w:sz="8" w:space="0" w:color="000000"/>
            </w:tcBorders>
            <w:vAlign w:val="center"/>
          </w:tcPr>
          <w:p w14:paraId="7339A47A"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2022</w:t>
            </w:r>
            <w:r w:rsidRPr="00242DFB">
              <w:rPr>
                <w:rFonts w:ascii="Arial" w:eastAsia="Arial" w:hAnsi="Arial" w:cs="Arial"/>
                <w:color w:val="000000" w:themeColor="text1"/>
                <w:kern w:val="2"/>
              </w:rPr>
              <w:t xml:space="preserve"> </w:t>
            </w:r>
          </w:p>
        </w:tc>
        <w:tc>
          <w:tcPr>
            <w:tcW w:w="1574" w:type="dxa"/>
            <w:gridSpan w:val="2"/>
            <w:tcBorders>
              <w:left w:val="nil"/>
              <w:bottom w:val="single" w:sz="8" w:space="0" w:color="000000"/>
              <w:right w:val="single" w:sz="8" w:space="0" w:color="000000"/>
            </w:tcBorders>
            <w:vAlign w:val="center"/>
          </w:tcPr>
          <w:p w14:paraId="0567C1DA"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2023</w:t>
            </w:r>
            <w:r w:rsidRPr="00242DFB">
              <w:rPr>
                <w:rFonts w:ascii="Arial" w:eastAsia="Arial" w:hAnsi="Arial" w:cs="Arial"/>
                <w:color w:val="000000" w:themeColor="text1"/>
                <w:kern w:val="2"/>
              </w:rPr>
              <w:t xml:space="preserve"> </w:t>
            </w:r>
          </w:p>
        </w:tc>
        <w:tc>
          <w:tcPr>
            <w:tcW w:w="1504" w:type="dxa"/>
            <w:gridSpan w:val="2"/>
            <w:tcBorders>
              <w:left w:val="nil"/>
              <w:bottom w:val="single" w:sz="8" w:space="0" w:color="000000"/>
              <w:right w:val="single" w:sz="8" w:space="0" w:color="000000"/>
            </w:tcBorders>
            <w:vAlign w:val="center"/>
          </w:tcPr>
          <w:p w14:paraId="78848077"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2024</w:t>
            </w:r>
            <w:r w:rsidRPr="00242DFB">
              <w:rPr>
                <w:rFonts w:ascii="Arial" w:eastAsia="Arial" w:hAnsi="Arial" w:cs="Arial"/>
                <w:color w:val="000000" w:themeColor="text1"/>
                <w:kern w:val="2"/>
              </w:rPr>
              <w:t xml:space="preserve"> </w:t>
            </w:r>
          </w:p>
        </w:tc>
        <w:tc>
          <w:tcPr>
            <w:tcW w:w="1717" w:type="dxa"/>
            <w:gridSpan w:val="2"/>
            <w:tcBorders>
              <w:left w:val="nil"/>
              <w:bottom w:val="single" w:sz="8" w:space="0" w:color="000000"/>
            </w:tcBorders>
            <w:vAlign w:val="center"/>
          </w:tcPr>
          <w:p w14:paraId="0E413EE2"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2025</w:t>
            </w:r>
            <w:r w:rsidRPr="00242DFB">
              <w:rPr>
                <w:rFonts w:ascii="Arial" w:eastAsia="Arial" w:hAnsi="Arial" w:cs="Arial"/>
                <w:color w:val="000000" w:themeColor="text1"/>
                <w:kern w:val="2"/>
              </w:rPr>
              <w:t xml:space="preserve"> </w:t>
            </w:r>
          </w:p>
        </w:tc>
      </w:tr>
      <w:tr w:rsidR="009F762E" w:rsidRPr="00242DFB" w14:paraId="69E420AD" w14:textId="77777777" w:rsidTr="00E117C1">
        <w:trPr>
          <w:cantSplit/>
          <w:trHeight w:val="695"/>
          <w:jc w:val="center"/>
        </w:trPr>
        <w:tc>
          <w:tcPr>
            <w:tcW w:w="1280" w:type="dxa"/>
            <w:vMerge/>
            <w:tcMar>
              <w:top w:w="0" w:type="dxa"/>
              <w:left w:w="108" w:type="dxa"/>
              <w:right w:w="108" w:type="dxa"/>
            </w:tcMar>
          </w:tcPr>
          <w:p w14:paraId="033FD2AF" w14:textId="77777777" w:rsidR="009F762E" w:rsidRPr="00242DFB" w:rsidRDefault="009F762E" w:rsidP="002A0E52">
            <w:pPr>
              <w:spacing w:line="360" w:lineRule="auto"/>
              <w:rPr>
                <w:rFonts w:ascii="Arial" w:hAnsi="Arial" w:cs="Arial"/>
                <w:color w:val="000000" w:themeColor="text1"/>
              </w:rPr>
            </w:pPr>
          </w:p>
        </w:tc>
        <w:tc>
          <w:tcPr>
            <w:tcW w:w="788" w:type="dxa"/>
            <w:tcBorders>
              <w:top w:val="single" w:sz="8" w:space="0" w:color="000000"/>
              <w:left w:val="single" w:sz="8" w:space="0" w:color="000000"/>
              <w:bottom w:val="single" w:sz="8" w:space="0" w:color="000000"/>
              <w:right w:val="single" w:sz="8" w:space="0" w:color="000000"/>
            </w:tcBorders>
            <w:vAlign w:val="center"/>
          </w:tcPr>
          <w:p w14:paraId="428225AB"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Rég. Subs.</w:t>
            </w:r>
            <w:r w:rsidRPr="00242DFB">
              <w:rPr>
                <w:rFonts w:ascii="Arial" w:eastAsia="Arial" w:hAnsi="Arial" w:cs="Arial"/>
                <w:color w:val="000000" w:themeColor="text1"/>
                <w:kern w:val="2"/>
              </w:rPr>
              <w:t xml:space="preserve"> </w:t>
            </w:r>
          </w:p>
        </w:tc>
        <w:tc>
          <w:tcPr>
            <w:tcW w:w="942" w:type="dxa"/>
            <w:tcBorders>
              <w:top w:val="nil"/>
              <w:left w:val="single" w:sz="8" w:space="0" w:color="000000"/>
              <w:bottom w:val="single" w:sz="8" w:space="0" w:color="000000"/>
              <w:right w:val="single" w:sz="8" w:space="0" w:color="000000"/>
            </w:tcBorders>
            <w:vAlign w:val="center"/>
          </w:tcPr>
          <w:p w14:paraId="15EBDD67"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Rég. Cont.</w:t>
            </w:r>
            <w:r w:rsidRPr="00242DFB">
              <w:rPr>
                <w:rFonts w:ascii="Arial" w:eastAsia="Arial" w:hAnsi="Arial" w:cs="Arial"/>
                <w:color w:val="000000" w:themeColor="text1"/>
                <w:kern w:val="2"/>
              </w:rPr>
              <w:t xml:space="preserve"> </w:t>
            </w:r>
          </w:p>
        </w:tc>
        <w:tc>
          <w:tcPr>
            <w:tcW w:w="761" w:type="dxa"/>
            <w:tcBorders>
              <w:top w:val="single" w:sz="8" w:space="0" w:color="000000"/>
              <w:left w:val="single" w:sz="8" w:space="0" w:color="000000"/>
              <w:bottom w:val="single" w:sz="8" w:space="0" w:color="000000"/>
              <w:right w:val="single" w:sz="8" w:space="0" w:color="000000"/>
            </w:tcBorders>
            <w:vAlign w:val="center"/>
          </w:tcPr>
          <w:p w14:paraId="14997F74"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Rég.  Subs.</w:t>
            </w:r>
            <w:r w:rsidRPr="00242DFB">
              <w:rPr>
                <w:rFonts w:ascii="Arial" w:eastAsia="Arial" w:hAnsi="Arial" w:cs="Arial"/>
                <w:color w:val="000000" w:themeColor="text1"/>
                <w:kern w:val="2"/>
              </w:rPr>
              <w:t xml:space="preserve"> </w:t>
            </w:r>
          </w:p>
        </w:tc>
        <w:tc>
          <w:tcPr>
            <w:tcW w:w="719" w:type="dxa"/>
            <w:tcBorders>
              <w:top w:val="nil"/>
              <w:left w:val="single" w:sz="8" w:space="0" w:color="000000"/>
              <w:bottom w:val="single" w:sz="8" w:space="0" w:color="000000"/>
              <w:right w:val="single" w:sz="8" w:space="0" w:color="000000"/>
            </w:tcBorders>
            <w:vAlign w:val="center"/>
          </w:tcPr>
          <w:p w14:paraId="5FBB401C"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Rég. Cont.</w:t>
            </w:r>
            <w:r w:rsidRPr="00242DFB">
              <w:rPr>
                <w:rFonts w:ascii="Arial" w:eastAsia="Arial" w:hAnsi="Arial" w:cs="Arial"/>
                <w:color w:val="000000" w:themeColor="text1"/>
                <w:kern w:val="2"/>
              </w:rPr>
              <w:t xml:space="preserve"> </w:t>
            </w:r>
          </w:p>
        </w:tc>
        <w:tc>
          <w:tcPr>
            <w:tcW w:w="788" w:type="dxa"/>
            <w:tcBorders>
              <w:top w:val="single" w:sz="8" w:space="0" w:color="000000"/>
              <w:left w:val="single" w:sz="8" w:space="0" w:color="000000"/>
              <w:bottom w:val="single" w:sz="8" w:space="0" w:color="000000"/>
              <w:right w:val="single" w:sz="8" w:space="0" w:color="000000"/>
            </w:tcBorders>
            <w:vAlign w:val="center"/>
          </w:tcPr>
          <w:p w14:paraId="2D974A24"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Rég.  Subs.</w:t>
            </w:r>
            <w:r w:rsidRPr="00242DFB">
              <w:rPr>
                <w:rFonts w:ascii="Arial" w:eastAsia="Arial" w:hAnsi="Arial" w:cs="Arial"/>
                <w:color w:val="000000" w:themeColor="text1"/>
                <w:kern w:val="2"/>
              </w:rPr>
              <w:t xml:space="preserve"> </w:t>
            </w:r>
          </w:p>
        </w:tc>
        <w:tc>
          <w:tcPr>
            <w:tcW w:w="786" w:type="dxa"/>
            <w:tcBorders>
              <w:top w:val="nil"/>
              <w:left w:val="single" w:sz="8" w:space="0" w:color="000000"/>
              <w:bottom w:val="single" w:sz="8" w:space="0" w:color="000000"/>
              <w:right w:val="single" w:sz="8" w:space="0" w:color="000000"/>
            </w:tcBorders>
            <w:vAlign w:val="center"/>
          </w:tcPr>
          <w:p w14:paraId="200403FF"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Rég.  Cont.</w:t>
            </w:r>
            <w:r w:rsidRPr="00242DFB">
              <w:rPr>
                <w:rFonts w:ascii="Arial" w:eastAsia="Arial" w:hAnsi="Arial" w:cs="Arial"/>
                <w:color w:val="000000" w:themeColor="text1"/>
                <w:kern w:val="2"/>
              </w:rPr>
              <w:t xml:space="preserve"> </w:t>
            </w:r>
          </w:p>
        </w:tc>
        <w:tc>
          <w:tcPr>
            <w:tcW w:w="788" w:type="dxa"/>
            <w:tcBorders>
              <w:top w:val="single" w:sz="8" w:space="0" w:color="000000"/>
              <w:left w:val="single" w:sz="8" w:space="0" w:color="000000"/>
              <w:bottom w:val="single" w:sz="8" w:space="0" w:color="000000"/>
              <w:right w:val="single" w:sz="8" w:space="0" w:color="000000"/>
            </w:tcBorders>
            <w:vAlign w:val="center"/>
          </w:tcPr>
          <w:p w14:paraId="551A1AF6"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Rég.  Subs.</w:t>
            </w:r>
            <w:r w:rsidRPr="00242DFB">
              <w:rPr>
                <w:rFonts w:ascii="Arial" w:eastAsia="Arial" w:hAnsi="Arial" w:cs="Arial"/>
                <w:color w:val="000000" w:themeColor="text1"/>
                <w:kern w:val="2"/>
              </w:rPr>
              <w:t xml:space="preserve"> </w:t>
            </w:r>
          </w:p>
        </w:tc>
        <w:tc>
          <w:tcPr>
            <w:tcW w:w="716" w:type="dxa"/>
            <w:tcBorders>
              <w:top w:val="nil"/>
              <w:left w:val="single" w:sz="8" w:space="0" w:color="000000"/>
              <w:bottom w:val="single" w:sz="8" w:space="0" w:color="000000"/>
              <w:right w:val="single" w:sz="8" w:space="0" w:color="000000"/>
            </w:tcBorders>
            <w:vAlign w:val="center"/>
          </w:tcPr>
          <w:p w14:paraId="65893A96"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Rég.  Cont.</w:t>
            </w:r>
            <w:r w:rsidRPr="00242DFB">
              <w:rPr>
                <w:rFonts w:ascii="Arial" w:eastAsia="Arial" w:hAnsi="Arial" w:cs="Arial"/>
                <w:color w:val="000000" w:themeColor="text1"/>
                <w:kern w:val="2"/>
              </w:rPr>
              <w:t xml:space="preserve"> </w:t>
            </w:r>
          </w:p>
        </w:tc>
        <w:tc>
          <w:tcPr>
            <w:tcW w:w="771" w:type="dxa"/>
            <w:tcBorders>
              <w:top w:val="single" w:sz="8" w:space="0" w:color="000000"/>
              <w:left w:val="single" w:sz="8" w:space="0" w:color="000000"/>
              <w:bottom w:val="single" w:sz="8" w:space="0" w:color="000000"/>
              <w:right w:val="single" w:sz="8" w:space="0" w:color="000000"/>
            </w:tcBorders>
            <w:vAlign w:val="center"/>
          </w:tcPr>
          <w:p w14:paraId="5C9989EC"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Rég.  Subs.</w:t>
            </w:r>
            <w:r w:rsidRPr="00242DFB">
              <w:rPr>
                <w:rFonts w:ascii="Arial" w:eastAsia="Arial" w:hAnsi="Arial" w:cs="Arial"/>
                <w:color w:val="000000" w:themeColor="text1"/>
                <w:kern w:val="2"/>
              </w:rPr>
              <w:t xml:space="preserve"> </w:t>
            </w:r>
          </w:p>
        </w:tc>
        <w:tc>
          <w:tcPr>
            <w:tcW w:w="946" w:type="dxa"/>
            <w:tcBorders>
              <w:top w:val="nil"/>
              <w:left w:val="single" w:sz="8" w:space="0" w:color="000000"/>
              <w:bottom w:val="single" w:sz="8" w:space="0" w:color="000000"/>
            </w:tcBorders>
            <w:vAlign w:val="center"/>
          </w:tcPr>
          <w:p w14:paraId="094CFF20"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Rég. Cont.</w:t>
            </w:r>
            <w:r w:rsidRPr="00242DFB">
              <w:rPr>
                <w:rFonts w:ascii="Arial" w:eastAsia="Arial" w:hAnsi="Arial" w:cs="Arial"/>
                <w:color w:val="000000" w:themeColor="text1"/>
                <w:kern w:val="2"/>
              </w:rPr>
              <w:t xml:space="preserve"> </w:t>
            </w:r>
          </w:p>
        </w:tc>
      </w:tr>
      <w:tr w:rsidR="009F762E" w:rsidRPr="00242DFB" w14:paraId="2D50F650" w14:textId="77777777" w:rsidTr="00E117C1">
        <w:trPr>
          <w:cantSplit/>
          <w:trHeight w:val="355"/>
          <w:jc w:val="center"/>
        </w:trPr>
        <w:tc>
          <w:tcPr>
            <w:tcW w:w="1280" w:type="dxa"/>
            <w:tcBorders>
              <w:top w:val="nil"/>
              <w:bottom w:val="single" w:sz="8" w:space="0" w:color="000000"/>
              <w:right w:val="single" w:sz="8" w:space="0" w:color="000000"/>
            </w:tcBorders>
            <w:vAlign w:val="center"/>
          </w:tcPr>
          <w:p w14:paraId="6FC67392"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themeColor="text1"/>
                <w:kern w:val="2"/>
              </w:rPr>
              <w:t xml:space="preserve">Soacha </w:t>
            </w:r>
          </w:p>
        </w:tc>
        <w:tc>
          <w:tcPr>
            <w:tcW w:w="788" w:type="dxa"/>
            <w:tcBorders>
              <w:top w:val="single" w:sz="8" w:space="0" w:color="000000"/>
              <w:left w:val="single" w:sz="8" w:space="0" w:color="000000"/>
              <w:bottom w:val="single" w:sz="8" w:space="0" w:color="000000"/>
              <w:right w:val="single" w:sz="8" w:space="0" w:color="000000"/>
            </w:tcBorders>
            <w:vAlign w:val="center"/>
          </w:tcPr>
          <w:p w14:paraId="2B4CA95E"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kern w:val="2"/>
              </w:rPr>
              <w:t>0</w:t>
            </w:r>
          </w:p>
        </w:tc>
        <w:tc>
          <w:tcPr>
            <w:tcW w:w="942" w:type="dxa"/>
            <w:tcBorders>
              <w:top w:val="single" w:sz="8" w:space="0" w:color="000000"/>
              <w:left w:val="single" w:sz="8" w:space="0" w:color="000000"/>
              <w:bottom w:val="single" w:sz="8" w:space="0" w:color="000000"/>
              <w:right w:val="single" w:sz="8" w:space="0" w:color="000000"/>
            </w:tcBorders>
            <w:vAlign w:val="center"/>
          </w:tcPr>
          <w:p w14:paraId="370A4268"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kern w:val="2"/>
              </w:rPr>
              <w:t>0</w:t>
            </w:r>
          </w:p>
        </w:tc>
        <w:tc>
          <w:tcPr>
            <w:tcW w:w="761" w:type="dxa"/>
            <w:tcBorders>
              <w:top w:val="single" w:sz="8" w:space="0" w:color="000000"/>
              <w:left w:val="single" w:sz="8" w:space="0" w:color="000000"/>
              <w:bottom w:val="single" w:sz="8" w:space="0" w:color="000000"/>
              <w:right w:val="single" w:sz="8" w:space="0" w:color="000000"/>
            </w:tcBorders>
            <w:vAlign w:val="center"/>
          </w:tcPr>
          <w:p w14:paraId="1FA25FA8"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kern w:val="2"/>
              </w:rPr>
              <w:t>1</w:t>
            </w:r>
          </w:p>
        </w:tc>
        <w:tc>
          <w:tcPr>
            <w:tcW w:w="719" w:type="dxa"/>
            <w:tcBorders>
              <w:top w:val="single" w:sz="8" w:space="0" w:color="000000"/>
              <w:left w:val="single" w:sz="8" w:space="0" w:color="000000"/>
              <w:bottom w:val="single" w:sz="8" w:space="0" w:color="000000"/>
              <w:right w:val="single" w:sz="8" w:space="0" w:color="000000"/>
            </w:tcBorders>
            <w:vAlign w:val="center"/>
          </w:tcPr>
          <w:p w14:paraId="333C7BA3"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kern w:val="2"/>
              </w:rPr>
              <w:t>0</w:t>
            </w:r>
          </w:p>
        </w:tc>
        <w:tc>
          <w:tcPr>
            <w:tcW w:w="788" w:type="dxa"/>
            <w:tcBorders>
              <w:top w:val="single" w:sz="8" w:space="0" w:color="000000"/>
              <w:left w:val="single" w:sz="8" w:space="0" w:color="000000"/>
              <w:bottom w:val="single" w:sz="8" w:space="0" w:color="000000"/>
              <w:right w:val="single" w:sz="8" w:space="0" w:color="000000"/>
            </w:tcBorders>
            <w:vAlign w:val="center"/>
          </w:tcPr>
          <w:p w14:paraId="325FDA42"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kern w:val="2"/>
              </w:rPr>
              <w:t>4.189</w:t>
            </w:r>
          </w:p>
        </w:tc>
        <w:tc>
          <w:tcPr>
            <w:tcW w:w="786" w:type="dxa"/>
            <w:tcBorders>
              <w:top w:val="single" w:sz="8" w:space="0" w:color="000000"/>
              <w:left w:val="single" w:sz="8" w:space="0" w:color="000000"/>
              <w:bottom w:val="single" w:sz="8" w:space="0" w:color="000000"/>
              <w:right w:val="single" w:sz="8" w:space="0" w:color="000000"/>
            </w:tcBorders>
            <w:vAlign w:val="center"/>
          </w:tcPr>
          <w:p w14:paraId="2244D8BD"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kern w:val="2"/>
              </w:rPr>
              <w:t>605</w:t>
            </w:r>
          </w:p>
        </w:tc>
        <w:tc>
          <w:tcPr>
            <w:tcW w:w="788" w:type="dxa"/>
            <w:tcBorders>
              <w:top w:val="single" w:sz="8" w:space="0" w:color="000000"/>
              <w:left w:val="single" w:sz="8" w:space="0" w:color="000000"/>
              <w:bottom w:val="single" w:sz="8" w:space="0" w:color="000000"/>
              <w:right w:val="single" w:sz="8" w:space="0" w:color="000000"/>
            </w:tcBorders>
            <w:vAlign w:val="center"/>
          </w:tcPr>
          <w:p w14:paraId="463B9E6E"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kern w:val="2"/>
              </w:rPr>
              <w:t>6.326</w:t>
            </w:r>
          </w:p>
        </w:tc>
        <w:tc>
          <w:tcPr>
            <w:tcW w:w="716" w:type="dxa"/>
            <w:tcBorders>
              <w:top w:val="single" w:sz="8" w:space="0" w:color="000000"/>
              <w:left w:val="single" w:sz="8" w:space="0" w:color="000000"/>
              <w:bottom w:val="single" w:sz="8" w:space="0" w:color="000000"/>
              <w:right w:val="single" w:sz="8" w:space="0" w:color="000000"/>
            </w:tcBorders>
            <w:vAlign w:val="center"/>
          </w:tcPr>
          <w:p w14:paraId="7839BEA5"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kern w:val="2"/>
              </w:rPr>
              <w:t xml:space="preserve">760 </w:t>
            </w:r>
          </w:p>
        </w:tc>
        <w:tc>
          <w:tcPr>
            <w:tcW w:w="771" w:type="dxa"/>
            <w:tcBorders>
              <w:top w:val="single" w:sz="8" w:space="0" w:color="000000"/>
              <w:left w:val="single" w:sz="8" w:space="0" w:color="000000"/>
              <w:bottom w:val="single" w:sz="8" w:space="0" w:color="000000"/>
              <w:right w:val="single" w:sz="8" w:space="0" w:color="000000"/>
            </w:tcBorders>
            <w:vAlign w:val="center"/>
          </w:tcPr>
          <w:p w14:paraId="5A53B43B"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kern w:val="2"/>
              </w:rPr>
              <w:t xml:space="preserve">9.909 </w:t>
            </w:r>
          </w:p>
        </w:tc>
        <w:tc>
          <w:tcPr>
            <w:tcW w:w="946" w:type="dxa"/>
            <w:tcBorders>
              <w:top w:val="single" w:sz="8" w:space="0" w:color="000000"/>
              <w:left w:val="single" w:sz="8" w:space="0" w:color="000000"/>
              <w:bottom w:val="single" w:sz="8" w:space="0" w:color="000000"/>
              <w:right w:val="single" w:sz="8" w:space="0" w:color="000000"/>
            </w:tcBorders>
            <w:vAlign w:val="center"/>
          </w:tcPr>
          <w:p w14:paraId="583611AD" w14:textId="585E5553"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kern w:val="2"/>
              </w:rPr>
              <w:t>1</w:t>
            </w:r>
            <w:r w:rsidR="00C14D90" w:rsidRPr="00242DFB">
              <w:rPr>
                <w:rFonts w:ascii="Arial" w:eastAsia="Arial" w:hAnsi="Arial" w:cs="Arial"/>
                <w:color w:val="000000" w:themeColor="text1"/>
                <w:kern w:val="2"/>
              </w:rPr>
              <w:t>.</w:t>
            </w:r>
            <w:r w:rsidRPr="00242DFB">
              <w:rPr>
                <w:rFonts w:ascii="Arial" w:eastAsia="Arial" w:hAnsi="Arial" w:cs="Arial"/>
                <w:color w:val="000000" w:themeColor="text1"/>
                <w:kern w:val="2"/>
              </w:rPr>
              <w:t xml:space="preserve">050 </w:t>
            </w:r>
          </w:p>
        </w:tc>
      </w:tr>
    </w:tbl>
    <w:p w14:paraId="16061416" w14:textId="77777777" w:rsidR="009F762E" w:rsidRPr="00242DFB" w:rsidRDefault="00000000" w:rsidP="002A0E52">
      <w:pPr>
        <w:spacing w:line="360" w:lineRule="auto"/>
        <w:jc w:val="both"/>
        <w:rPr>
          <w:rFonts w:ascii="Arial" w:hAnsi="Arial" w:cs="Arial"/>
          <w:color w:val="000000" w:themeColor="text1"/>
          <w:sz w:val="16"/>
          <w:szCs w:val="16"/>
        </w:rPr>
      </w:pPr>
      <w:r w:rsidRPr="00242DFB">
        <w:rPr>
          <w:rFonts w:ascii="Arial" w:eastAsia="Arial" w:hAnsi="Arial" w:cs="Arial"/>
          <w:color w:val="000000"/>
          <w:sz w:val="16"/>
          <w:szCs w:val="16"/>
        </w:rPr>
        <w:t xml:space="preserve">Fuentes: Ministerio de Salud y Protección Social. Cifras de afiliación en salud, corte a 31-12-2025. </w:t>
      </w:r>
      <w:hyperlink r:id="rId17">
        <w:r w:rsidRPr="00242DFB">
          <w:rPr>
            <w:rStyle w:val="Hipervnculo"/>
            <w:rFonts w:ascii="Arial" w:eastAsia="Arial" w:hAnsi="Arial" w:cs="Arial"/>
            <w:color w:val="000000" w:themeColor="text1"/>
            <w:sz w:val="16"/>
            <w:szCs w:val="16"/>
          </w:rPr>
          <w:t>https://public.tableau.com/app/profile/minsaludcol/viz/CifrasAseguramientoenSalud_16166927767750/Aseguramiento</w:t>
        </w:r>
      </w:hyperlink>
    </w:p>
    <w:p w14:paraId="023D4C3D"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04A27523"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De lo anteriormente expuesto, se observa que el municipio de Soacha, con corte a diciembre de 2025, registra 10.959 usuarios afiliados a Capital Salud EPS-S, de los cuales el 90,42% corresponde al régimen subsidiado y el 9,58% al régimen contributivo.</w:t>
      </w:r>
    </w:p>
    <w:p w14:paraId="6774834D"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7BDE0BA8"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Este comportamiento sugiere una presión relevante sobre la red de prestación en el entorno de Bogotá, especialmente por el crecimiento de afiliados en Soacha y por la alta concentración en régimen subsidiado. Para Capital Salud EPS-S, esto implica fortalecer la suficiencia de red, la oportunidad en citas y autorizaciones, la gestión de referencia y contrarreferencia, y la continuidad de tratamientos para población que, aunque reside en municipios vecinos, puede demandar servicios de mediana y alta complejidad en Bogotá.</w:t>
      </w:r>
    </w:p>
    <w:p w14:paraId="10723621" w14:textId="77777777" w:rsidR="009F762E" w:rsidRPr="00242DFB" w:rsidRDefault="009F762E" w:rsidP="002A0E52">
      <w:pPr>
        <w:spacing w:line="360" w:lineRule="auto"/>
        <w:jc w:val="both"/>
        <w:rPr>
          <w:rFonts w:ascii="Arial" w:eastAsia="Arial" w:hAnsi="Arial" w:cs="Arial"/>
          <w:color w:val="000000" w:themeColor="text1"/>
        </w:rPr>
      </w:pPr>
    </w:p>
    <w:p w14:paraId="08933A7A" w14:textId="77777777" w:rsidR="009F762E" w:rsidRPr="00242DFB" w:rsidRDefault="00000000" w:rsidP="002A0E52">
      <w:pPr>
        <w:pStyle w:val="Ttulo2"/>
        <w:numPr>
          <w:ilvl w:val="1"/>
          <w:numId w:val="7"/>
        </w:numPr>
        <w:spacing w:before="0" w:line="360" w:lineRule="auto"/>
        <w:jc w:val="both"/>
        <w:rPr>
          <w:rFonts w:ascii="Arial" w:hAnsi="Arial" w:cs="Arial"/>
          <w:b/>
          <w:bCs/>
          <w:color w:val="000000" w:themeColor="text1"/>
          <w:sz w:val="24"/>
          <w:szCs w:val="24"/>
        </w:rPr>
      </w:pPr>
      <w:bookmarkStart w:id="7" w:name="__RefHeading___Toc8572_542869190"/>
      <w:bookmarkStart w:id="8" w:name="_Toc230853761"/>
      <w:bookmarkEnd w:id="7"/>
      <w:r w:rsidRPr="00242DFB">
        <w:rPr>
          <w:rFonts w:ascii="Arial" w:hAnsi="Arial" w:cs="Arial"/>
          <w:b/>
          <w:bCs/>
          <w:color w:val="000000"/>
          <w:sz w:val="24"/>
          <w:szCs w:val="24"/>
        </w:rPr>
        <w:t>Relación EPS – Ciudad</w:t>
      </w:r>
      <w:bookmarkEnd w:id="8"/>
      <w:r w:rsidRPr="00242DFB">
        <w:rPr>
          <w:rFonts w:ascii="Arial" w:hAnsi="Arial" w:cs="Arial"/>
          <w:b/>
          <w:bCs/>
          <w:color w:val="000000"/>
          <w:sz w:val="24"/>
          <w:szCs w:val="24"/>
        </w:rPr>
        <w:t xml:space="preserve"> </w:t>
      </w:r>
    </w:p>
    <w:p w14:paraId="13370D6D" w14:textId="77777777" w:rsidR="009F762E" w:rsidRPr="00242DFB" w:rsidRDefault="009F762E" w:rsidP="002A0E52">
      <w:pPr>
        <w:spacing w:line="360" w:lineRule="auto"/>
        <w:rPr>
          <w:rFonts w:ascii="Arial" w:hAnsi="Arial" w:cs="Arial"/>
          <w:color w:val="000000" w:themeColor="text1"/>
        </w:rPr>
      </w:pPr>
    </w:p>
    <w:p w14:paraId="420ABD6E"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lastRenderedPageBreak/>
        <w:t>Bogotá constituye el 78,3% del total de afiliados a Capital Salud, además de operar en 29 municipios del departamento del Meta que representan el 20,8% del total de afilados, en Cundinamarca solo opera en Soacha que representa el 1% del total de afiliados.</w:t>
      </w:r>
    </w:p>
    <w:p w14:paraId="17AE4F93" w14:textId="6258E806" w:rsidR="009F762E" w:rsidRPr="00242DFB" w:rsidRDefault="009F762E" w:rsidP="002A0E52">
      <w:pPr>
        <w:spacing w:line="360" w:lineRule="auto"/>
        <w:jc w:val="center"/>
        <w:rPr>
          <w:rFonts w:ascii="Arial" w:eastAsia="Arial" w:hAnsi="Arial" w:cs="Arial"/>
          <w:color w:val="000000" w:themeColor="text1"/>
        </w:rPr>
      </w:pPr>
    </w:p>
    <w:p w14:paraId="3D53DBA2" w14:textId="320AC0C2" w:rsidR="0014328E" w:rsidRPr="00242DFB" w:rsidRDefault="0014328E" w:rsidP="0014328E">
      <w:pPr>
        <w:pStyle w:val="Descripcin"/>
        <w:keepNext/>
        <w:jc w:val="center"/>
        <w:rPr>
          <w:rFonts w:ascii="Arial" w:hAnsi="Arial" w:cs="Arial"/>
          <w:color w:val="auto"/>
          <w:sz w:val="24"/>
          <w:szCs w:val="24"/>
        </w:rPr>
      </w:pPr>
      <w:r w:rsidRPr="00242DFB">
        <w:rPr>
          <w:rFonts w:ascii="Arial" w:hAnsi="Arial" w:cs="Arial"/>
          <w:color w:val="auto"/>
          <w:sz w:val="24"/>
          <w:szCs w:val="24"/>
        </w:rPr>
        <w:t xml:space="preserve">Tabla </w:t>
      </w:r>
      <w:r w:rsidRPr="00242DFB">
        <w:rPr>
          <w:rFonts w:ascii="Arial" w:hAnsi="Arial" w:cs="Arial"/>
          <w:color w:val="auto"/>
          <w:sz w:val="24"/>
          <w:szCs w:val="24"/>
        </w:rPr>
        <w:fldChar w:fldCharType="begin"/>
      </w:r>
      <w:r w:rsidRPr="00242DFB">
        <w:rPr>
          <w:rFonts w:ascii="Arial" w:hAnsi="Arial" w:cs="Arial"/>
          <w:color w:val="auto"/>
          <w:sz w:val="24"/>
          <w:szCs w:val="24"/>
        </w:rPr>
        <w:instrText xml:space="preserve"> SEQ Tabla \* ARABIC </w:instrText>
      </w:r>
      <w:r w:rsidRPr="00242DFB">
        <w:rPr>
          <w:rFonts w:ascii="Arial" w:hAnsi="Arial" w:cs="Arial"/>
          <w:color w:val="auto"/>
          <w:sz w:val="24"/>
          <w:szCs w:val="24"/>
        </w:rPr>
        <w:fldChar w:fldCharType="separate"/>
      </w:r>
      <w:r w:rsidR="00B1210D">
        <w:rPr>
          <w:rFonts w:ascii="Arial" w:hAnsi="Arial" w:cs="Arial"/>
          <w:noProof/>
          <w:color w:val="auto"/>
          <w:sz w:val="24"/>
          <w:szCs w:val="24"/>
        </w:rPr>
        <w:t>6</w:t>
      </w:r>
      <w:r w:rsidRPr="00242DFB">
        <w:rPr>
          <w:rFonts w:ascii="Arial" w:hAnsi="Arial" w:cs="Arial"/>
          <w:color w:val="auto"/>
          <w:sz w:val="24"/>
          <w:szCs w:val="24"/>
        </w:rPr>
        <w:fldChar w:fldCharType="end"/>
      </w:r>
      <w:r w:rsidRPr="00242DFB">
        <w:rPr>
          <w:rFonts w:ascii="Arial" w:hAnsi="Arial" w:cs="Arial"/>
          <w:color w:val="auto"/>
          <w:sz w:val="24"/>
          <w:szCs w:val="24"/>
        </w:rPr>
        <w:t>. Afiliados por entidad territorial y participación de Capital Salud EPS-S, diciembre de 2025</w:t>
      </w:r>
    </w:p>
    <w:tbl>
      <w:tblPr>
        <w:tblW w:w="9581" w:type="dxa"/>
        <w:jc w:val="center"/>
        <w:tblLayout w:type="fixed"/>
        <w:tblCellMar>
          <w:left w:w="70" w:type="dxa"/>
          <w:right w:w="70" w:type="dxa"/>
        </w:tblCellMar>
        <w:tblLook w:val="04A0" w:firstRow="1" w:lastRow="0" w:firstColumn="1" w:lastColumn="0" w:noHBand="0" w:noVBand="1"/>
      </w:tblPr>
      <w:tblGrid>
        <w:gridCol w:w="1908"/>
        <w:gridCol w:w="1982"/>
        <w:gridCol w:w="1703"/>
        <w:gridCol w:w="1560"/>
        <w:gridCol w:w="1354"/>
        <w:gridCol w:w="1074"/>
      </w:tblGrid>
      <w:tr w:rsidR="009F762E" w:rsidRPr="00242DFB" w14:paraId="416FDA8E" w14:textId="77777777" w:rsidTr="0014328E">
        <w:trPr>
          <w:cantSplit/>
          <w:trHeight w:val="331"/>
          <w:tblHeader/>
          <w:jc w:val="center"/>
        </w:trPr>
        <w:tc>
          <w:tcPr>
            <w:tcW w:w="1908" w:type="dxa"/>
            <w:tcBorders>
              <w:top w:val="single" w:sz="4" w:space="0" w:color="000000"/>
              <w:left w:val="single" w:sz="4" w:space="0" w:color="000000"/>
              <w:bottom w:val="single" w:sz="4" w:space="0" w:color="000000"/>
              <w:right w:val="single" w:sz="4" w:space="0" w:color="000000"/>
            </w:tcBorders>
            <w:vAlign w:val="center"/>
          </w:tcPr>
          <w:p w14:paraId="152F7167"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rPr>
              <w:t>Departamento</w:t>
            </w:r>
          </w:p>
        </w:tc>
        <w:tc>
          <w:tcPr>
            <w:tcW w:w="1981" w:type="dxa"/>
            <w:tcBorders>
              <w:top w:val="single" w:sz="4" w:space="0" w:color="000000"/>
              <w:left w:val="single" w:sz="4" w:space="0" w:color="000000"/>
              <w:bottom w:val="single" w:sz="4" w:space="0" w:color="000000"/>
              <w:right w:val="single" w:sz="4" w:space="0" w:color="000000"/>
            </w:tcBorders>
            <w:vAlign w:val="center"/>
          </w:tcPr>
          <w:p w14:paraId="581E3C55"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rPr>
              <w:t>Municipio</w:t>
            </w:r>
          </w:p>
        </w:tc>
        <w:tc>
          <w:tcPr>
            <w:tcW w:w="1703" w:type="dxa"/>
            <w:tcBorders>
              <w:top w:val="single" w:sz="4" w:space="0" w:color="000000"/>
              <w:left w:val="single" w:sz="4" w:space="0" w:color="000000"/>
              <w:bottom w:val="single" w:sz="4" w:space="0" w:color="000000"/>
              <w:right w:val="single" w:sz="4" w:space="0" w:color="000000"/>
            </w:tcBorders>
            <w:vAlign w:val="center"/>
          </w:tcPr>
          <w:p w14:paraId="1AFD6066"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rPr>
              <w:t>R. Contributivo</w:t>
            </w:r>
          </w:p>
        </w:tc>
        <w:tc>
          <w:tcPr>
            <w:tcW w:w="1560" w:type="dxa"/>
            <w:tcBorders>
              <w:top w:val="single" w:sz="4" w:space="0" w:color="000000"/>
              <w:left w:val="single" w:sz="4" w:space="0" w:color="000000"/>
              <w:bottom w:val="single" w:sz="4" w:space="0" w:color="000000"/>
              <w:right w:val="single" w:sz="4" w:space="0" w:color="000000"/>
            </w:tcBorders>
            <w:vAlign w:val="center"/>
          </w:tcPr>
          <w:p w14:paraId="0567E287"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rPr>
              <w:t>R. Subsidiado</w:t>
            </w:r>
          </w:p>
        </w:tc>
        <w:tc>
          <w:tcPr>
            <w:tcW w:w="1354" w:type="dxa"/>
            <w:tcBorders>
              <w:top w:val="single" w:sz="4" w:space="0" w:color="000000"/>
              <w:left w:val="single" w:sz="4" w:space="0" w:color="000000"/>
              <w:bottom w:val="single" w:sz="4" w:space="0" w:color="000000"/>
              <w:right w:val="single" w:sz="4" w:space="0" w:color="000000"/>
            </w:tcBorders>
            <w:vAlign w:val="center"/>
          </w:tcPr>
          <w:p w14:paraId="7D6A14BB" w14:textId="0AA6CD63" w:rsidR="009F762E" w:rsidRPr="00242DFB" w:rsidRDefault="0014328E"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rPr>
              <w:t>Total,</w:t>
            </w:r>
            <w:r w:rsidR="00000000" w:rsidRPr="00242DFB">
              <w:rPr>
                <w:rFonts w:ascii="Arial" w:eastAsia="Arial" w:hAnsi="Arial" w:cs="Arial"/>
                <w:b/>
                <w:bCs/>
                <w:color w:val="000000" w:themeColor="text1"/>
              </w:rPr>
              <w:t xml:space="preserve"> Afiliados</w:t>
            </w:r>
          </w:p>
        </w:tc>
        <w:tc>
          <w:tcPr>
            <w:tcW w:w="1074" w:type="dxa"/>
            <w:tcBorders>
              <w:top w:val="single" w:sz="4" w:space="0" w:color="000000"/>
              <w:left w:val="single" w:sz="4" w:space="0" w:color="000000"/>
              <w:bottom w:val="single" w:sz="4" w:space="0" w:color="000000"/>
              <w:right w:val="single" w:sz="4" w:space="0" w:color="000000"/>
            </w:tcBorders>
            <w:vAlign w:val="center"/>
          </w:tcPr>
          <w:p w14:paraId="69AA32E8"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rPr>
              <w:t>%</w:t>
            </w:r>
          </w:p>
        </w:tc>
      </w:tr>
      <w:tr w:rsidR="009F762E" w:rsidRPr="00242DFB" w14:paraId="6880A3C5" w14:textId="77777777" w:rsidTr="0014328E">
        <w:trPr>
          <w:cantSplit/>
          <w:trHeight w:val="117"/>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7B203F1E"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Antioquia</w:t>
            </w:r>
          </w:p>
        </w:tc>
        <w:tc>
          <w:tcPr>
            <w:tcW w:w="1981" w:type="dxa"/>
            <w:tcBorders>
              <w:top w:val="single" w:sz="4" w:space="0" w:color="000000"/>
              <w:left w:val="single" w:sz="4" w:space="0" w:color="000000"/>
              <w:bottom w:val="single" w:sz="4" w:space="0" w:color="000000"/>
              <w:right w:val="single" w:sz="4" w:space="0" w:color="000000"/>
            </w:tcBorders>
            <w:vAlign w:val="bottom"/>
          </w:tcPr>
          <w:p w14:paraId="1F225152"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Cocorná</w:t>
            </w:r>
          </w:p>
        </w:tc>
        <w:tc>
          <w:tcPr>
            <w:tcW w:w="1703" w:type="dxa"/>
            <w:tcBorders>
              <w:top w:val="single" w:sz="4" w:space="0" w:color="000000"/>
              <w:left w:val="single" w:sz="4" w:space="0" w:color="000000"/>
              <w:bottom w:val="single" w:sz="4" w:space="0" w:color="000000"/>
              <w:right w:val="single" w:sz="4" w:space="0" w:color="000000"/>
            </w:tcBorders>
            <w:vAlign w:val="bottom"/>
          </w:tcPr>
          <w:p w14:paraId="02966E2A"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 xml:space="preserve"> </w:t>
            </w:r>
          </w:p>
        </w:tc>
        <w:tc>
          <w:tcPr>
            <w:tcW w:w="1560" w:type="dxa"/>
            <w:tcBorders>
              <w:top w:val="single" w:sz="4" w:space="0" w:color="000000"/>
              <w:left w:val="single" w:sz="4" w:space="0" w:color="000000"/>
              <w:bottom w:val="single" w:sz="4" w:space="0" w:color="000000"/>
              <w:right w:val="single" w:sz="4" w:space="0" w:color="000000"/>
            </w:tcBorders>
            <w:vAlign w:val="bottom"/>
          </w:tcPr>
          <w:p w14:paraId="600CFDA6"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w:t>
            </w:r>
          </w:p>
        </w:tc>
        <w:tc>
          <w:tcPr>
            <w:tcW w:w="1354" w:type="dxa"/>
            <w:tcBorders>
              <w:top w:val="single" w:sz="4" w:space="0" w:color="000000"/>
              <w:left w:val="single" w:sz="4" w:space="0" w:color="000000"/>
              <w:bottom w:val="single" w:sz="4" w:space="0" w:color="000000"/>
              <w:right w:val="single" w:sz="4" w:space="0" w:color="000000"/>
            </w:tcBorders>
            <w:vAlign w:val="bottom"/>
          </w:tcPr>
          <w:p w14:paraId="6D6BB294"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w:t>
            </w:r>
          </w:p>
        </w:tc>
        <w:tc>
          <w:tcPr>
            <w:tcW w:w="1074" w:type="dxa"/>
            <w:tcBorders>
              <w:top w:val="single" w:sz="4" w:space="0" w:color="000000"/>
              <w:left w:val="single" w:sz="4" w:space="0" w:color="000000"/>
              <w:bottom w:val="single" w:sz="4" w:space="0" w:color="000000"/>
              <w:right w:val="single" w:sz="4" w:space="0" w:color="000000"/>
            </w:tcBorders>
            <w:vAlign w:val="bottom"/>
          </w:tcPr>
          <w:p w14:paraId="57AED079"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0,0%</w:t>
            </w:r>
          </w:p>
        </w:tc>
      </w:tr>
      <w:tr w:rsidR="009F762E" w:rsidRPr="00242DFB" w14:paraId="7D3D8045"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2A17B966"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Antioquia</w:t>
            </w:r>
          </w:p>
        </w:tc>
        <w:tc>
          <w:tcPr>
            <w:tcW w:w="1981" w:type="dxa"/>
            <w:tcBorders>
              <w:top w:val="single" w:sz="4" w:space="0" w:color="000000"/>
              <w:left w:val="single" w:sz="4" w:space="0" w:color="000000"/>
              <w:bottom w:val="single" w:sz="4" w:space="0" w:color="000000"/>
              <w:right w:val="single" w:sz="4" w:space="0" w:color="000000"/>
            </w:tcBorders>
            <w:vAlign w:val="bottom"/>
          </w:tcPr>
          <w:p w14:paraId="6B30490E"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Santa Fe de Antioquia</w:t>
            </w:r>
          </w:p>
        </w:tc>
        <w:tc>
          <w:tcPr>
            <w:tcW w:w="1703" w:type="dxa"/>
            <w:tcBorders>
              <w:top w:val="single" w:sz="4" w:space="0" w:color="000000"/>
              <w:left w:val="single" w:sz="4" w:space="0" w:color="000000"/>
              <w:bottom w:val="single" w:sz="4" w:space="0" w:color="000000"/>
              <w:right w:val="single" w:sz="4" w:space="0" w:color="000000"/>
            </w:tcBorders>
            <w:vAlign w:val="bottom"/>
          </w:tcPr>
          <w:p w14:paraId="366F9778"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w:t>
            </w:r>
          </w:p>
        </w:tc>
        <w:tc>
          <w:tcPr>
            <w:tcW w:w="1560" w:type="dxa"/>
            <w:tcBorders>
              <w:top w:val="single" w:sz="4" w:space="0" w:color="000000"/>
              <w:left w:val="single" w:sz="4" w:space="0" w:color="000000"/>
              <w:bottom w:val="single" w:sz="4" w:space="0" w:color="000000"/>
              <w:right w:val="single" w:sz="4" w:space="0" w:color="000000"/>
            </w:tcBorders>
            <w:vAlign w:val="bottom"/>
          </w:tcPr>
          <w:p w14:paraId="7212BA52"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 xml:space="preserve"> </w:t>
            </w:r>
          </w:p>
        </w:tc>
        <w:tc>
          <w:tcPr>
            <w:tcW w:w="1354" w:type="dxa"/>
            <w:tcBorders>
              <w:top w:val="single" w:sz="4" w:space="0" w:color="000000"/>
              <w:left w:val="single" w:sz="4" w:space="0" w:color="000000"/>
              <w:bottom w:val="single" w:sz="4" w:space="0" w:color="000000"/>
              <w:right w:val="single" w:sz="4" w:space="0" w:color="000000"/>
            </w:tcBorders>
            <w:vAlign w:val="bottom"/>
          </w:tcPr>
          <w:p w14:paraId="5382D2ED"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w:t>
            </w:r>
          </w:p>
        </w:tc>
        <w:tc>
          <w:tcPr>
            <w:tcW w:w="1074" w:type="dxa"/>
            <w:tcBorders>
              <w:top w:val="single" w:sz="4" w:space="0" w:color="000000"/>
              <w:left w:val="single" w:sz="4" w:space="0" w:color="000000"/>
              <w:bottom w:val="single" w:sz="4" w:space="0" w:color="000000"/>
              <w:right w:val="single" w:sz="4" w:space="0" w:color="000000"/>
            </w:tcBorders>
            <w:vAlign w:val="bottom"/>
          </w:tcPr>
          <w:p w14:paraId="5CE2A0BE"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0,0%</w:t>
            </w:r>
          </w:p>
        </w:tc>
      </w:tr>
      <w:tr w:rsidR="009F762E" w:rsidRPr="00242DFB" w14:paraId="2E48F8AE"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3B6EE2CF"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Bogotá, D.C.</w:t>
            </w:r>
          </w:p>
        </w:tc>
        <w:tc>
          <w:tcPr>
            <w:tcW w:w="1981" w:type="dxa"/>
            <w:tcBorders>
              <w:top w:val="single" w:sz="4" w:space="0" w:color="000000"/>
              <w:left w:val="single" w:sz="4" w:space="0" w:color="000000"/>
              <w:bottom w:val="single" w:sz="4" w:space="0" w:color="000000"/>
              <w:right w:val="single" w:sz="4" w:space="0" w:color="000000"/>
            </w:tcBorders>
            <w:vAlign w:val="bottom"/>
          </w:tcPr>
          <w:p w14:paraId="27FFEFE6"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Bogotá, D.C.</w:t>
            </w:r>
          </w:p>
        </w:tc>
        <w:tc>
          <w:tcPr>
            <w:tcW w:w="1703" w:type="dxa"/>
            <w:tcBorders>
              <w:top w:val="single" w:sz="4" w:space="0" w:color="000000"/>
              <w:left w:val="single" w:sz="4" w:space="0" w:color="000000"/>
              <w:bottom w:val="single" w:sz="4" w:space="0" w:color="000000"/>
              <w:right w:val="single" w:sz="4" w:space="0" w:color="000000"/>
            </w:tcBorders>
            <w:vAlign w:val="bottom"/>
          </w:tcPr>
          <w:p w14:paraId="20A31616"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61.595</w:t>
            </w:r>
          </w:p>
        </w:tc>
        <w:tc>
          <w:tcPr>
            <w:tcW w:w="1560" w:type="dxa"/>
            <w:tcBorders>
              <w:top w:val="single" w:sz="4" w:space="0" w:color="000000"/>
              <w:left w:val="single" w:sz="4" w:space="0" w:color="000000"/>
              <w:bottom w:val="single" w:sz="4" w:space="0" w:color="000000"/>
              <w:right w:val="single" w:sz="4" w:space="0" w:color="000000"/>
            </w:tcBorders>
            <w:vAlign w:val="bottom"/>
          </w:tcPr>
          <w:p w14:paraId="2B930111"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820.341</w:t>
            </w:r>
          </w:p>
        </w:tc>
        <w:tc>
          <w:tcPr>
            <w:tcW w:w="1354" w:type="dxa"/>
            <w:tcBorders>
              <w:top w:val="single" w:sz="4" w:space="0" w:color="000000"/>
              <w:left w:val="single" w:sz="4" w:space="0" w:color="000000"/>
              <w:bottom w:val="single" w:sz="4" w:space="0" w:color="000000"/>
              <w:right w:val="single" w:sz="4" w:space="0" w:color="000000"/>
            </w:tcBorders>
            <w:vAlign w:val="bottom"/>
          </w:tcPr>
          <w:p w14:paraId="419CB00F"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881.936</w:t>
            </w:r>
          </w:p>
        </w:tc>
        <w:tc>
          <w:tcPr>
            <w:tcW w:w="1074" w:type="dxa"/>
            <w:tcBorders>
              <w:top w:val="single" w:sz="4" w:space="0" w:color="000000"/>
              <w:left w:val="single" w:sz="4" w:space="0" w:color="000000"/>
              <w:bottom w:val="single" w:sz="4" w:space="0" w:color="000000"/>
              <w:right w:val="single" w:sz="4" w:space="0" w:color="000000"/>
            </w:tcBorders>
            <w:vAlign w:val="bottom"/>
          </w:tcPr>
          <w:p w14:paraId="331B02D8"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78,3%</w:t>
            </w:r>
          </w:p>
        </w:tc>
      </w:tr>
      <w:tr w:rsidR="009F762E" w:rsidRPr="00242DFB" w14:paraId="66B3298D" w14:textId="77777777" w:rsidTr="0014328E">
        <w:trPr>
          <w:cantSplit/>
          <w:trHeight w:val="81"/>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4078E761"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Cundinamarca</w:t>
            </w:r>
          </w:p>
        </w:tc>
        <w:tc>
          <w:tcPr>
            <w:tcW w:w="1981" w:type="dxa"/>
            <w:tcBorders>
              <w:top w:val="single" w:sz="4" w:space="0" w:color="000000"/>
              <w:left w:val="single" w:sz="4" w:space="0" w:color="000000"/>
              <w:bottom w:val="single" w:sz="4" w:space="0" w:color="000000"/>
              <w:right w:val="single" w:sz="4" w:space="0" w:color="000000"/>
            </w:tcBorders>
            <w:vAlign w:val="bottom"/>
          </w:tcPr>
          <w:p w14:paraId="7951489B"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Soacha</w:t>
            </w:r>
          </w:p>
        </w:tc>
        <w:tc>
          <w:tcPr>
            <w:tcW w:w="1703" w:type="dxa"/>
            <w:tcBorders>
              <w:top w:val="single" w:sz="4" w:space="0" w:color="000000"/>
              <w:left w:val="single" w:sz="4" w:space="0" w:color="000000"/>
              <w:bottom w:val="single" w:sz="4" w:space="0" w:color="000000"/>
              <w:right w:val="single" w:sz="4" w:space="0" w:color="000000"/>
            </w:tcBorders>
            <w:vAlign w:val="bottom"/>
          </w:tcPr>
          <w:p w14:paraId="3E5B5061"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1.050</w:t>
            </w:r>
          </w:p>
        </w:tc>
        <w:tc>
          <w:tcPr>
            <w:tcW w:w="1560" w:type="dxa"/>
            <w:tcBorders>
              <w:top w:val="single" w:sz="4" w:space="0" w:color="000000"/>
              <w:left w:val="single" w:sz="4" w:space="0" w:color="000000"/>
              <w:bottom w:val="single" w:sz="4" w:space="0" w:color="000000"/>
              <w:right w:val="single" w:sz="4" w:space="0" w:color="000000"/>
            </w:tcBorders>
            <w:vAlign w:val="bottom"/>
          </w:tcPr>
          <w:p w14:paraId="50276CA2"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9.909</w:t>
            </w:r>
          </w:p>
        </w:tc>
        <w:tc>
          <w:tcPr>
            <w:tcW w:w="1354" w:type="dxa"/>
            <w:tcBorders>
              <w:top w:val="single" w:sz="4" w:space="0" w:color="000000"/>
              <w:left w:val="single" w:sz="4" w:space="0" w:color="000000"/>
              <w:bottom w:val="single" w:sz="4" w:space="0" w:color="000000"/>
              <w:right w:val="single" w:sz="4" w:space="0" w:color="000000"/>
            </w:tcBorders>
            <w:vAlign w:val="bottom"/>
          </w:tcPr>
          <w:p w14:paraId="137F6310"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10.959</w:t>
            </w:r>
          </w:p>
        </w:tc>
        <w:tc>
          <w:tcPr>
            <w:tcW w:w="1074" w:type="dxa"/>
            <w:tcBorders>
              <w:top w:val="single" w:sz="4" w:space="0" w:color="000000"/>
              <w:left w:val="single" w:sz="4" w:space="0" w:color="000000"/>
              <w:bottom w:val="single" w:sz="4" w:space="0" w:color="000000"/>
              <w:right w:val="single" w:sz="4" w:space="0" w:color="000000"/>
            </w:tcBorders>
            <w:vAlign w:val="bottom"/>
          </w:tcPr>
          <w:p w14:paraId="190818FC"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1,0%</w:t>
            </w:r>
          </w:p>
        </w:tc>
      </w:tr>
      <w:tr w:rsidR="009F762E" w:rsidRPr="00242DFB" w14:paraId="0CB439EC"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024DF44C"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03A1B492"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Acacías</w:t>
            </w:r>
          </w:p>
        </w:tc>
        <w:tc>
          <w:tcPr>
            <w:tcW w:w="1703" w:type="dxa"/>
            <w:tcBorders>
              <w:top w:val="single" w:sz="4" w:space="0" w:color="000000"/>
              <w:left w:val="single" w:sz="4" w:space="0" w:color="000000"/>
              <w:bottom w:val="single" w:sz="4" w:space="0" w:color="000000"/>
              <w:right w:val="single" w:sz="4" w:space="0" w:color="000000"/>
            </w:tcBorders>
            <w:vAlign w:val="bottom"/>
          </w:tcPr>
          <w:p w14:paraId="6D98F7EA"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2.410</w:t>
            </w:r>
          </w:p>
        </w:tc>
        <w:tc>
          <w:tcPr>
            <w:tcW w:w="1560" w:type="dxa"/>
            <w:tcBorders>
              <w:top w:val="single" w:sz="4" w:space="0" w:color="000000"/>
              <w:left w:val="single" w:sz="4" w:space="0" w:color="000000"/>
              <w:bottom w:val="single" w:sz="4" w:space="0" w:color="000000"/>
              <w:right w:val="single" w:sz="4" w:space="0" w:color="000000"/>
            </w:tcBorders>
            <w:vAlign w:val="bottom"/>
          </w:tcPr>
          <w:p w14:paraId="206BC9A8"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17.231</w:t>
            </w:r>
          </w:p>
        </w:tc>
        <w:tc>
          <w:tcPr>
            <w:tcW w:w="1354" w:type="dxa"/>
            <w:tcBorders>
              <w:top w:val="single" w:sz="4" w:space="0" w:color="000000"/>
              <w:left w:val="single" w:sz="4" w:space="0" w:color="000000"/>
              <w:bottom w:val="single" w:sz="4" w:space="0" w:color="000000"/>
              <w:right w:val="single" w:sz="4" w:space="0" w:color="000000"/>
            </w:tcBorders>
            <w:vAlign w:val="bottom"/>
          </w:tcPr>
          <w:p w14:paraId="6223EDBF"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19.641</w:t>
            </w:r>
          </w:p>
        </w:tc>
        <w:tc>
          <w:tcPr>
            <w:tcW w:w="1074" w:type="dxa"/>
            <w:tcBorders>
              <w:top w:val="single" w:sz="4" w:space="0" w:color="000000"/>
              <w:left w:val="single" w:sz="4" w:space="0" w:color="000000"/>
              <w:bottom w:val="single" w:sz="4" w:space="0" w:color="000000"/>
              <w:right w:val="single" w:sz="4" w:space="0" w:color="000000"/>
            </w:tcBorders>
            <w:vAlign w:val="bottom"/>
          </w:tcPr>
          <w:p w14:paraId="1764AFAD"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1,7%</w:t>
            </w:r>
          </w:p>
        </w:tc>
      </w:tr>
      <w:tr w:rsidR="009F762E" w:rsidRPr="00242DFB" w14:paraId="491348D1"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791EBD71"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2B56866C"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Barranca De Upía</w:t>
            </w:r>
          </w:p>
        </w:tc>
        <w:tc>
          <w:tcPr>
            <w:tcW w:w="1703" w:type="dxa"/>
            <w:tcBorders>
              <w:top w:val="single" w:sz="4" w:space="0" w:color="000000"/>
              <w:left w:val="single" w:sz="4" w:space="0" w:color="000000"/>
              <w:bottom w:val="single" w:sz="4" w:space="0" w:color="000000"/>
              <w:right w:val="single" w:sz="4" w:space="0" w:color="000000"/>
            </w:tcBorders>
            <w:vAlign w:val="bottom"/>
          </w:tcPr>
          <w:p w14:paraId="316FA624"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561</w:t>
            </w:r>
          </w:p>
        </w:tc>
        <w:tc>
          <w:tcPr>
            <w:tcW w:w="1560" w:type="dxa"/>
            <w:tcBorders>
              <w:top w:val="single" w:sz="4" w:space="0" w:color="000000"/>
              <w:left w:val="single" w:sz="4" w:space="0" w:color="000000"/>
              <w:bottom w:val="single" w:sz="4" w:space="0" w:color="000000"/>
              <w:right w:val="single" w:sz="4" w:space="0" w:color="000000"/>
            </w:tcBorders>
            <w:vAlign w:val="bottom"/>
          </w:tcPr>
          <w:p w14:paraId="234582CE"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2.784</w:t>
            </w:r>
          </w:p>
        </w:tc>
        <w:tc>
          <w:tcPr>
            <w:tcW w:w="1354" w:type="dxa"/>
            <w:tcBorders>
              <w:top w:val="single" w:sz="4" w:space="0" w:color="000000"/>
              <w:left w:val="single" w:sz="4" w:space="0" w:color="000000"/>
              <w:bottom w:val="single" w:sz="4" w:space="0" w:color="000000"/>
              <w:right w:val="single" w:sz="4" w:space="0" w:color="000000"/>
            </w:tcBorders>
            <w:vAlign w:val="bottom"/>
          </w:tcPr>
          <w:p w14:paraId="3CB7D681"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3.345</w:t>
            </w:r>
          </w:p>
        </w:tc>
        <w:tc>
          <w:tcPr>
            <w:tcW w:w="1074" w:type="dxa"/>
            <w:tcBorders>
              <w:top w:val="single" w:sz="4" w:space="0" w:color="000000"/>
              <w:left w:val="single" w:sz="4" w:space="0" w:color="000000"/>
              <w:bottom w:val="single" w:sz="4" w:space="0" w:color="000000"/>
              <w:right w:val="single" w:sz="4" w:space="0" w:color="000000"/>
            </w:tcBorders>
            <w:vAlign w:val="bottom"/>
          </w:tcPr>
          <w:p w14:paraId="73ACD925"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0,3%</w:t>
            </w:r>
          </w:p>
        </w:tc>
      </w:tr>
      <w:tr w:rsidR="009F762E" w:rsidRPr="00242DFB" w14:paraId="5075F88C" w14:textId="77777777" w:rsidTr="0014328E">
        <w:trPr>
          <w:cantSplit/>
          <w:trHeight w:val="177"/>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03DD54D1"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5D0B9610"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Cabuyaro</w:t>
            </w:r>
          </w:p>
        </w:tc>
        <w:tc>
          <w:tcPr>
            <w:tcW w:w="1703" w:type="dxa"/>
            <w:tcBorders>
              <w:top w:val="single" w:sz="4" w:space="0" w:color="000000"/>
              <w:left w:val="single" w:sz="4" w:space="0" w:color="000000"/>
              <w:bottom w:val="single" w:sz="4" w:space="0" w:color="000000"/>
              <w:right w:val="single" w:sz="4" w:space="0" w:color="000000"/>
            </w:tcBorders>
            <w:vAlign w:val="bottom"/>
          </w:tcPr>
          <w:p w14:paraId="2088D03C"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623</w:t>
            </w:r>
          </w:p>
        </w:tc>
        <w:tc>
          <w:tcPr>
            <w:tcW w:w="1560" w:type="dxa"/>
            <w:tcBorders>
              <w:top w:val="single" w:sz="4" w:space="0" w:color="000000"/>
              <w:left w:val="single" w:sz="4" w:space="0" w:color="000000"/>
              <w:bottom w:val="single" w:sz="4" w:space="0" w:color="000000"/>
              <w:right w:val="single" w:sz="4" w:space="0" w:color="000000"/>
            </w:tcBorders>
            <w:vAlign w:val="bottom"/>
          </w:tcPr>
          <w:p w14:paraId="3BA96145"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2.433</w:t>
            </w:r>
          </w:p>
        </w:tc>
        <w:tc>
          <w:tcPr>
            <w:tcW w:w="1354" w:type="dxa"/>
            <w:tcBorders>
              <w:top w:val="single" w:sz="4" w:space="0" w:color="000000"/>
              <w:left w:val="single" w:sz="4" w:space="0" w:color="000000"/>
              <w:bottom w:val="single" w:sz="4" w:space="0" w:color="000000"/>
              <w:right w:val="single" w:sz="4" w:space="0" w:color="000000"/>
            </w:tcBorders>
            <w:vAlign w:val="bottom"/>
          </w:tcPr>
          <w:p w14:paraId="6C0554E1"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3.056</w:t>
            </w:r>
          </w:p>
        </w:tc>
        <w:tc>
          <w:tcPr>
            <w:tcW w:w="1074" w:type="dxa"/>
            <w:tcBorders>
              <w:top w:val="single" w:sz="4" w:space="0" w:color="000000"/>
              <w:left w:val="single" w:sz="4" w:space="0" w:color="000000"/>
              <w:bottom w:val="single" w:sz="4" w:space="0" w:color="000000"/>
              <w:right w:val="single" w:sz="4" w:space="0" w:color="000000"/>
            </w:tcBorders>
            <w:vAlign w:val="bottom"/>
          </w:tcPr>
          <w:p w14:paraId="23961A26"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0,3%</w:t>
            </w:r>
          </w:p>
        </w:tc>
      </w:tr>
      <w:tr w:rsidR="009F762E" w:rsidRPr="00242DFB" w14:paraId="2DF30655"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58CCFD68"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4B2263DC"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Castilla La Nueva</w:t>
            </w:r>
          </w:p>
        </w:tc>
        <w:tc>
          <w:tcPr>
            <w:tcW w:w="1703" w:type="dxa"/>
            <w:tcBorders>
              <w:top w:val="single" w:sz="4" w:space="0" w:color="000000"/>
              <w:left w:val="single" w:sz="4" w:space="0" w:color="000000"/>
              <w:bottom w:val="single" w:sz="4" w:space="0" w:color="000000"/>
              <w:right w:val="single" w:sz="4" w:space="0" w:color="000000"/>
            </w:tcBorders>
            <w:vAlign w:val="bottom"/>
          </w:tcPr>
          <w:p w14:paraId="015DCA0A"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1.204</w:t>
            </w:r>
          </w:p>
        </w:tc>
        <w:tc>
          <w:tcPr>
            <w:tcW w:w="1560" w:type="dxa"/>
            <w:tcBorders>
              <w:top w:val="single" w:sz="4" w:space="0" w:color="000000"/>
              <w:left w:val="single" w:sz="4" w:space="0" w:color="000000"/>
              <w:bottom w:val="single" w:sz="4" w:space="0" w:color="000000"/>
              <w:right w:val="single" w:sz="4" w:space="0" w:color="000000"/>
            </w:tcBorders>
            <w:vAlign w:val="bottom"/>
          </w:tcPr>
          <w:p w14:paraId="061C9051"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3.974</w:t>
            </w:r>
          </w:p>
        </w:tc>
        <w:tc>
          <w:tcPr>
            <w:tcW w:w="1354" w:type="dxa"/>
            <w:tcBorders>
              <w:top w:val="single" w:sz="4" w:space="0" w:color="000000"/>
              <w:left w:val="single" w:sz="4" w:space="0" w:color="000000"/>
              <w:bottom w:val="single" w:sz="4" w:space="0" w:color="000000"/>
              <w:right w:val="single" w:sz="4" w:space="0" w:color="000000"/>
            </w:tcBorders>
            <w:vAlign w:val="bottom"/>
          </w:tcPr>
          <w:p w14:paraId="10D92D20"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5.178</w:t>
            </w:r>
          </w:p>
        </w:tc>
        <w:tc>
          <w:tcPr>
            <w:tcW w:w="1074" w:type="dxa"/>
            <w:tcBorders>
              <w:top w:val="single" w:sz="4" w:space="0" w:color="000000"/>
              <w:left w:val="single" w:sz="4" w:space="0" w:color="000000"/>
              <w:bottom w:val="single" w:sz="4" w:space="0" w:color="000000"/>
              <w:right w:val="single" w:sz="4" w:space="0" w:color="000000"/>
            </w:tcBorders>
            <w:vAlign w:val="bottom"/>
          </w:tcPr>
          <w:p w14:paraId="76A4DE59"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0,5%</w:t>
            </w:r>
          </w:p>
        </w:tc>
      </w:tr>
      <w:tr w:rsidR="009F762E" w:rsidRPr="00242DFB" w14:paraId="6068AD88"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5F46BCA0"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37BF267C"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Cubarral</w:t>
            </w:r>
          </w:p>
        </w:tc>
        <w:tc>
          <w:tcPr>
            <w:tcW w:w="1703" w:type="dxa"/>
            <w:tcBorders>
              <w:top w:val="single" w:sz="4" w:space="0" w:color="000000"/>
              <w:left w:val="single" w:sz="4" w:space="0" w:color="000000"/>
              <w:bottom w:val="single" w:sz="4" w:space="0" w:color="000000"/>
              <w:right w:val="single" w:sz="4" w:space="0" w:color="000000"/>
            </w:tcBorders>
            <w:vAlign w:val="bottom"/>
          </w:tcPr>
          <w:p w14:paraId="3B342D27"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57</w:t>
            </w:r>
          </w:p>
        </w:tc>
        <w:tc>
          <w:tcPr>
            <w:tcW w:w="1560" w:type="dxa"/>
            <w:tcBorders>
              <w:top w:val="single" w:sz="4" w:space="0" w:color="000000"/>
              <w:left w:val="single" w:sz="4" w:space="0" w:color="000000"/>
              <w:bottom w:val="single" w:sz="4" w:space="0" w:color="000000"/>
              <w:right w:val="single" w:sz="4" w:space="0" w:color="000000"/>
            </w:tcBorders>
            <w:vAlign w:val="bottom"/>
          </w:tcPr>
          <w:p w14:paraId="5BB4FD4B"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550</w:t>
            </w:r>
          </w:p>
        </w:tc>
        <w:tc>
          <w:tcPr>
            <w:tcW w:w="1354" w:type="dxa"/>
            <w:tcBorders>
              <w:top w:val="single" w:sz="4" w:space="0" w:color="000000"/>
              <w:left w:val="single" w:sz="4" w:space="0" w:color="000000"/>
              <w:bottom w:val="single" w:sz="4" w:space="0" w:color="000000"/>
              <w:right w:val="single" w:sz="4" w:space="0" w:color="000000"/>
            </w:tcBorders>
            <w:vAlign w:val="bottom"/>
          </w:tcPr>
          <w:p w14:paraId="49661511"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607</w:t>
            </w:r>
          </w:p>
        </w:tc>
        <w:tc>
          <w:tcPr>
            <w:tcW w:w="1074" w:type="dxa"/>
            <w:tcBorders>
              <w:top w:val="single" w:sz="4" w:space="0" w:color="000000"/>
              <w:left w:val="single" w:sz="4" w:space="0" w:color="000000"/>
              <w:bottom w:val="single" w:sz="4" w:space="0" w:color="000000"/>
              <w:right w:val="single" w:sz="4" w:space="0" w:color="000000"/>
            </w:tcBorders>
            <w:vAlign w:val="bottom"/>
          </w:tcPr>
          <w:p w14:paraId="6C42F973"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0,1%</w:t>
            </w:r>
          </w:p>
        </w:tc>
      </w:tr>
      <w:tr w:rsidR="009F762E" w:rsidRPr="00242DFB" w14:paraId="317D6EA7"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2AD624E2"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7451A9D8"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Cumaral</w:t>
            </w:r>
          </w:p>
        </w:tc>
        <w:tc>
          <w:tcPr>
            <w:tcW w:w="1703" w:type="dxa"/>
            <w:tcBorders>
              <w:top w:val="single" w:sz="4" w:space="0" w:color="000000"/>
              <w:left w:val="single" w:sz="4" w:space="0" w:color="000000"/>
              <w:bottom w:val="single" w:sz="4" w:space="0" w:color="000000"/>
              <w:right w:val="single" w:sz="4" w:space="0" w:color="000000"/>
            </w:tcBorders>
            <w:vAlign w:val="bottom"/>
          </w:tcPr>
          <w:p w14:paraId="7BEDC910"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90</w:t>
            </w:r>
          </w:p>
        </w:tc>
        <w:tc>
          <w:tcPr>
            <w:tcW w:w="1560" w:type="dxa"/>
            <w:tcBorders>
              <w:top w:val="single" w:sz="4" w:space="0" w:color="000000"/>
              <w:left w:val="single" w:sz="4" w:space="0" w:color="000000"/>
              <w:bottom w:val="single" w:sz="4" w:space="0" w:color="000000"/>
              <w:right w:val="single" w:sz="4" w:space="0" w:color="000000"/>
            </w:tcBorders>
            <w:vAlign w:val="bottom"/>
          </w:tcPr>
          <w:p w14:paraId="6C4765EB"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627</w:t>
            </w:r>
          </w:p>
        </w:tc>
        <w:tc>
          <w:tcPr>
            <w:tcW w:w="1354" w:type="dxa"/>
            <w:tcBorders>
              <w:top w:val="single" w:sz="4" w:space="0" w:color="000000"/>
              <w:left w:val="single" w:sz="4" w:space="0" w:color="000000"/>
              <w:bottom w:val="single" w:sz="4" w:space="0" w:color="000000"/>
              <w:right w:val="single" w:sz="4" w:space="0" w:color="000000"/>
            </w:tcBorders>
            <w:vAlign w:val="bottom"/>
          </w:tcPr>
          <w:p w14:paraId="0A1DD2FF"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717</w:t>
            </w:r>
          </w:p>
        </w:tc>
        <w:tc>
          <w:tcPr>
            <w:tcW w:w="1074" w:type="dxa"/>
            <w:tcBorders>
              <w:top w:val="single" w:sz="4" w:space="0" w:color="000000"/>
              <w:left w:val="single" w:sz="4" w:space="0" w:color="000000"/>
              <w:bottom w:val="single" w:sz="4" w:space="0" w:color="000000"/>
              <w:right w:val="single" w:sz="4" w:space="0" w:color="000000"/>
            </w:tcBorders>
            <w:vAlign w:val="bottom"/>
          </w:tcPr>
          <w:p w14:paraId="35344665"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0,1%</w:t>
            </w:r>
          </w:p>
        </w:tc>
      </w:tr>
      <w:tr w:rsidR="009F762E" w:rsidRPr="00242DFB" w14:paraId="49780955"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340ACDF7"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1D8C59A5"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El Calvario</w:t>
            </w:r>
          </w:p>
        </w:tc>
        <w:tc>
          <w:tcPr>
            <w:tcW w:w="1703" w:type="dxa"/>
            <w:tcBorders>
              <w:top w:val="single" w:sz="4" w:space="0" w:color="000000"/>
              <w:left w:val="single" w:sz="4" w:space="0" w:color="000000"/>
              <w:bottom w:val="single" w:sz="4" w:space="0" w:color="000000"/>
              <w:right w:val="single" w:sz="4" w:space="0" w:color="000000"/>
            </w:tcBorders>
            <w:vAlign w:val="bottom"/>
          </w:tcPr>
          <w:p w14:paraId="2C57CB69"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29</w:t>
            </w:r>
          </w:p>
        </w:tc>
        <w:tc>
          <w:tcPr>
            <w:tcW w:w="1560" w:type="dxa"/>
            <w:tcBorders>
              <w:top w:val="single" w:sz="4" w:space="0" w:color="000000"/>
              <w:left w:val="single" w:sz="4" w:space="0" w:color="000000"/>
              <w:bottom w:val="single" w:sz="4" w:space="0" w:color="000000"/>
              <w:right w:val="single" w:sz="4" w:space="0" w:color="000000"/>
            </w:tcBorders>
            <w:vAlign w:val="bottom"/>
          </w:tcPr>
          <w:p w14:paraId="3F234506"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403</w:t>
            </w:r>
          </w:p>
        </w:tc>
        <w:tc>
          <w:tcPr>
            <w:tcW w:w="1354" w:type="dxa"/>
            <w:tcBorders>
              <w:top w:val="single" w:sz="4" w:space="0" w:color="000000"/>
              <w:left w:val="single" w:sz="4" w:space="0" w:color="000000"/>
              <w:bottom w:val="single" w:sz="4" w:space="0" w:color="000000"/>
              <w:right w:val="single" w:sz="4" w:space="0" w:color="000000"/>
            </w:tcBorders>
            <w:vAlign w:val="bottom"/>
          </w:tcPr>
          <w:p w14:paraId="471BD4C4"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432</w:t>
            </w:r>
          </w:p>
        </w:tc>
        <w:tc>
          <w:tcPr>
            <w:tcW w:w="1074" w:type="dxa"/>
            <w:tcBorders>
              <w:top w:val="single" w:sz="4" w:space="0" w:color="000000"/>
              <w:left w:val="single" w:sz="4" w:space="0" w:color="000000"/>
              <w:bottom w:val="single" w:sz="4" w:space="0" w:color="000000"/>
              <w:right w:val="single" w:sz="4" w:space="0" w:color="000000"/>
            </w:tcBorders>
            <w:vAlign w:val="bottom"/>
          </w:tcPr>
          <w:p w14:paraId="11BE3806"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0,0%</w:t>
            </w:r>
          </w:p>
        </w:tc>
      </w:tr>
      <w:tr w:rsidR="009F762E" w:rsidRPr="00242DFB" w14:paraId="47B34BE3"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1D0AE2D7"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45AD073B"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El Castillo</w:t>
            </w:r>
          </w:p>
        </w:tc>
        <w:tc>
          <w:tcPr>
            <w:tcW w:w="1703" w:type="dxa"/>
            <w:tcBorders>
              <w:top w:val="single" w:sz="4" w:space="0" w:color="000000"/>
              <w:left w:val="single" w:sz="4" w:space="0" w:color="000000"/>
              <w:bottom w:val="single" w:sz="4" w:space="0" w:color="000000"/>
              <w:right w:val="single" w:sz="4" w:space="0" w:color="000000"/>
            </w:tcBorders>
            <w:vAlign w:val="bottom"/>
          </w:tcPr>
          <w:p w14:paraId="19FB33F5"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294</w:t>
            </w:r>
          </w:p>
        </w:tc>
        <w:tc>
          <w:tcPr>
            <w:tcW w:w="1560" w:type="dxa"/>
            <w:tcBorders>
              <w:top w:val="single" w:sz="4" w:space="0" w:color="000000"/>
              <w:left w:val="single" w:sz="4" w:space="0" w:color="000000"/>
              <w:bottom w:val="single" w:sz="4" w:space="0" w:color="000000"/>
              <w:right w:val="single" w:sz="4" w:space="0" w:color="000000"/>
            </w:tcBorders>
            <w:vAlign w:val="bottom"/>
          </w:tcPr>
          <w:p w14:paraId="55050975"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4.846</w:t>
            </w:r>
          </w:p>
        </w:tc>
        <w:tc>
          <w:tcPr>
            <w:tcW w:w="1354" w:type="dxa"/>
            <w:tcBorders>
              <w:top w:val="single" w:sz="4" w:space="0" w:color="000000"/>
              <w:left w:val="single" w:sz="4" w:space="0" w:color="000000"/>
              <w:bottom w:val="single" w:sz="4" w:space="0" w:color="000000"/>
              <w:right w:val="single" w:sz="4" w:space="0" w:color="000000"/>
            </w:tcBorders>
            <w:vAlign w:val="bottom"/>
          </w:tcPr>
          <w:p w14:paraId="3D48A3F9"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5.140</w:t>
            </w:r>
          </w:p>
        </w:tc>
        <w:tc>
          <w:tcPr>
            <w:tcW w:w="1074" w:type="dxa"/>
            <w:tcBorders>
              <w:top w:val="single" w:sz="4" w:space="0" w:color="000000"/>
              <w:left w:val="single" w:sz="4" w:space="0" w:color="000000"/>
              <w:bottom w:val="single" w:sz="4" w:space="0" w:color="000000"/>
              <w:right w:val="single" w:sz="4" w:space="0" w:color="000000"/>
            </w:tcBorders>
            <w:vAlign w:val="bottom"/>
          </w:tcPr>
          <w:p w14:paraId="26C75276"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0,5%</w:t>
            </w:r>
          </w:p>
        </w:tc>
      </w:tr>
      <w:tr w:rsidR="009F762E" w:rsidRPr="00242DFB" w14:paraId="3B195940" w14:textId="77777777" w:rsidTr="0014328E">
        <w:trPr>
          <w:cantSplit/>
          <w:trHeight w:val="57"/>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44732732"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10B379F1"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El Dorado</w:t>
            </w:r>
          </w:p>
        </w:tc>
        <w:tc>
          <w:tcPr>
            <w:tcW w:w="1703" w:type="dxa"/>
            <w:tcBorders>
              <w:top w:val="single" w:sz="4" w:space="0" w:color="000000"/>
              <w:left w:val="single" w:sz="4" w:space="0" w:color="000000"/>
              <w:bottom w:val="single" w:sz="4" w:space="0" w:color="000000"/>
              <w:right w:val="single" w:sz="4" w:space="0" w:color="000000"/>
            </w:tcBorders>
            <w:vAlign w:val="bottom"/>
          </w:tcPr>
          <w:p w14:paraId="5059BEAF"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215</w:t>
            </w:r>
          </w:p>
        </w:tc>
        <w:tc>
          <w:tcPr>
            <w:tcW w:w="1560" w:type="dxa"/>
            <w:tcBorders>
              <w:top w:val="single" w:sz="4" w:space="0" w:color="000000"/>
              <w:left w:val="single" w:sz="4" w:space="0" w:color="000000"/>
              <w:bottom w:val="single" w:sz="4" w:space="0" w:color="000000"/>
              <w:right w:val="single" w:sz="4" w:space="0" w:color="000000"/>
            </w:tcBorders>
            <w:vAlign w:val="bottom"/>
          </w:tcPr>
          <w:p w14:paraId="1DF518E4"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2.918</w:t>
            </w:r>
          </w:p>
        </w:tc>
        <w:tc>
          <w:tcPr>
            <w:tcW w:w="1354" w:type="dxa"/>
            <w:tcBorders>
              <w:top w:val="single" w:sz="4" w:space="0" w:color="000000"/>
              <w:left w:val="single" w:sz="4" w:space="0" w:color="000000"/>
              <w:bottom w:val="single" w:sz="4" w:space="0" w:color="000000"/>
              <w:right w:val="single" w:sz="4" w:space="0" w:color="000000"/>
            </w:tcBorders>
            <w:vAlign w:val="bottom"/>
          </w:tcPr>
          <w:p w14:paraId="5EC8AA15"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3.133</w:t>
            </w:r>
          </w:p>
        </w:tc>
        <w:tc>
          <w:tcPr>
            <w:tcW w:w="1074" w:type="dxa"/>
            <w:tcBorders>
              <w:top w:val="single" w:sz="4" w:space="0" w:color="000000"/>
              <w:left w:val="single" w:sz="4" w:space="0" w:color="000000"/>
              <w:bottom w:val="single" w:sz="4" w:space="0" w:color="000000"/>
              <w:right w:val="single" w:sz="4" w:space="0" w:color="000000"/>
            </w:tcBorders>
            <w:vAlign w:val="bottom"/>
          </w:tcPr>
          <w:p w14:paraId="5331DDDD"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0,3%</w:t>
            </w:r>
          </w:p>
        </w:tc>
      </w:tr>
      <w:tr w:rsidR="009F762E" w:rsidRPr="00242DFB" w14:paraId="17D2E646" w14:textId="77777777" w:rsidTr="0014328E">
        <w:trPr>
          <w:cantSplit/>
          <w:trHeight w:val="90"/>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5681D0A7"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4D2E7FCB"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Fuente De Oro</w:t>
            </w:r>
          </w:p>
        </w:tc>
        <w:tc>
          <w:tcPr>
            <w:tcW w:w="1703" w:type="dxa"/>
            <w:tcBorders>
              <w:top w:val="single" w:sz="4" w:space="0" w:color="000000"/>
              <w:left w:val="single" w:sz="4" w:space="0" w:color="000000"/>
              <w:bottom w:val="single" w:sz="4" w:space="0" w:color="000000"/>
              <w:right w:val="single" w:sz="4" w:space="0" w:color="000000"/>
            </w:tcBorders>
            <w:vAlign w:val="bottom"/>
          </w:tcPr>
          <w:p w14:paraId="0BE96285"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27</w:t>
            </w:r>
          </w:p>
        </w:tc>
        <w:tc>
          <w:tcPr>
            <w:tcW w:w="1560" w:type="dxa"/>
            <w:tcBorders>
              <w:top w:val="single" w:sz="4" w:space="0" w:color="000000"/>
              <w:left w:val="single" w:sz="4" w:space="0" w:color="000000"/>
              <w:bottom w:val="single" w:sz="4" w:space="0" w:color="000000"/>
              <w:right w:val="single" w:sz="4" w:space="0" w:color="000000"/>
            </w:tcBorders>
            <w:vAlign w:val="bottom"/>
          </w:tcPr>
          <w:p w14:paraId="13753EA4"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449</w:t>
            </w:r>
          </w:p>
        </w:tc>
        <w:tc>
          <w:tcPr>
            <w:tcW w:w="1354" w:type="dxa"/>
            <w:tcBorders>
              <w:top w:val="single" w:sz="4" w:space="0" w:color="000000"/>
              <w:left w:val="single" w:sz="4" w:space="0" w:color="000000"/>
              <w:bottom w:val="single" w:sz="4" w:space="0" w:color="000000"/>
              <w:right w:val="single" w:sz="4" w:space="0" w:color="000000"/>
            </w:tcBorders>
            <w:vAlign w:val="bottom"/>
          </w:tcPr>
          <w:p w14:paraId="13F0E782"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476</w:t>
            </w:r>
          </w:p>
        </w:tc>
        <w:tc>
          <w:tcPr>
            <w:tcW w:w="1074" w:type="dxa"/>
            <w:tcBorders>
              <w:top w:val="single" w:sz="4" w:space="0" w:color="000000"/>
              <w:left w:val="single" w:sz="4" w:space="0" w:color="000000"/>
              <w:bottom w:val="single" w:sz="4" w:space="0" w:color="000000"/>
              <w:right w:val="single" w:sz="4" w:space="0" w:color="000000"/>
            </w:tcBorders>
            <w:vAlign w:val="bottom"/>
          </w:tcPr>
          <w:p w14:paraId="1BEE161C"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0,0%</w:t>
            </w:r>
          </w:p>
        </w:tc>
      </w:tr>
      <w:tr w:rsidR="009F762E" w:rsidRPr="00242DFB" w14:paraId="6B2E8C1C"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10D8C474"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66F55262"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Granada</w:t>
            </w:r>
          </w:p>
        </w:tc>
        <w:tc>
          <w:tcPr>
            <w:tcW w:w="1703" w:type="dxa"/>
            <w:tcBorders>
              <w:top w:val="single" w:sz="4" w:space="0" w:color="000000"/>
              <w:left w:val="single" w:sz="4" w:space="0" w:color="000000"/>
              <w:bottom w:val="single" w:sz="4" w:space="0" w:color="000000"/>
              <w:right w:val="single" w:sz="4" w:space="0" w:color="000000"/>
            </w:tcBorders>
            <w:vAlign w:val="bottom"/>
          </w:tcPr>
          <w:p w14:paraId="6C6654F0"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2.515</w:t>
            </w:r>
          </w:p>
        </w:tc>
        <w:tc>
          <w:tcPr>
            <w:tcW w:w="1560" w:type="dxa"/>
            <w:tcBorders>
              <w:top w:val="single" w:sz="4" w:space="0" w:color="000000"/>
              <w:left w:val="single" w:sz="4" w:space="0" w:color="000000"/>
              <w:bottom w:val="single" w:sz="4" w:space="0" w:color="000000"/>
              <w:right w:val="single" w:sz="4" w:space="0" w:color="000000"/>
            </w:tcBorders>
            <w:vAlign w:val="bottom"/>
          </w:tcPr>
          <w:p w14:paraId="2CD56523"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31.423</w:t>
            </w:r>
          </w:p>
        </w:tc>
        <w:tc>
          <w:tcPr>
            <w:tcW w:w="1354" w:type="dxa"/>
            <w:tcBorders>
              <w:top w:val="single" w:sz="4" w:space="0" w:color="000000"/>
              <w:left w:val="single" w:sz="4" w:space="0" w:color="000000"/>
              <w:bottom w:val="single" w:sz="4" w:space="0" w:color="000000"/>
              <w:right w:val="single" w:sz="4" w:space="0" w:color="000000"/>
            </w:tcBorders>
            <w:vAlign w:val="bottom"/>
          </w:tcPr>
          <w:p w14:paraId="1195C390"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33.938</w:t>
            </w:r>
          </w:p>
        </w:tc>
        <w:tc>
          <w:tcPr>
            <w:tcW w:w="1074" w:type="dxa"/>
            <w:tcBorders>
              <w:top w:val="single" w:sz="4" w:space="0" w:color="000000"/>
              <w:left w:val="single" w:sz="4" w:space="0" w:color="000000"/>
              <w:bottom w:val="single" w:sz="4" w:space="0" w:color="000000"/>
              <w:right w:val="single" w:sz="4" w:space="0" w:color="000000"/>
            </w:tcBorders>
            <w:vAlign w:val="bottom"/>
          </w:tcPr>
          <w:p w14:paraId="397C289B"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3,0%</w:t>
            </w:r>
          </w:p>
        </w:tc>
      </w:tr>
      <w:tr w:rsidR="009F762E" w:rsidRPr="00242DFB" w14:paraId="7ACB104B"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73C20B26"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7632B01B"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Guamal</w:t>
            </w:r>
          </w:p>
        </w:tc>
        <w:tc>
          <w:tcPr>
            <w:tcW w:w="1703" w:type="dxa"/>
            <w:tcBorders>
              <w:top w:val="single" w:sz="4" w:space="0" w:color="000000"/>
              <w:left w:val="single" w:sz="4" w:space="0" w:color="000000"/>
              <w:bottom w:val="single" w:sz="4" w:space="0" w:color="000000"/>
              <w:right w:val="single" w:sz="4" w:space="0" w:color="000000"/>
            </w:tcBorders>
            <w:vAlign w:val="bottom"/>
          </w:tcPr>
          <w:p w14:paraId="119AED07"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695</w:t>
            </w:r>
          </w:p>
        </w:tc>
        <w:tc>
          <w:tcPr>
            <w:tcW w:w="1560" w:type="dxa"/>
            <w:tcBorders>
              <w:top w:val="single" w:sz="4" w:space="0" w:color="000000"/>
              <w:left w:val="single" w:sz="4" w:space="0" w:color="000000"/>
              <w:bottom w:val="single" w:sz="4" w:space="0" w:color="000000"/>
              <w:right w:val="single" w:sz="4" w:space="0" w:color="000000"/>
            </w:tcBorders>
            <w:vAlign w:val="bottom"/>
          </w:tcPr>
          <w:p w14:paraId="7F83EAB3"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4.007</w:t>
            </w:r>
          </w:p>
        </w:tc>
        <w:tc>
          <w:tcPr>
            <w:tcW w:w="1354" w:type="dxa"/>
            <w:tcBorders>
              <w:top w:val="single" w:sz="4" w:space="0" w:color="000000"/>
              <w:left w:val="single" w:sz="4" w:space="0" w:color="000000"/>
              <w:bottom w:val="single" w:sz="4" w:space="0" w:color="000000"/>
              <w:right w:val="single" w:sz="4" w:space="0" w:color="000000"/>
            </w:tcBorders>
            <w:vAlign w:val="bottom"/>
          </w:tcPr>
          <w:p w14:paraId="02CFC7F9"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4.702</w:t>
            </w:r>
          </w:p>
        </w:tc>
        <w:tc>
          <w:tcPr>
            <w:tcW w:w="1074" w:type="dxa"/>
            <w:tcBorders>
              <w:top w:val="single" w:sz="4" w:space="0" w:color="000000"/>
              <w:left w:val="single" w:sz="4" w:space="0" w:color="000000"/>
              <w:bottom w:val="single" w:sz="4" w:space="0" w:color="000000"/>
              <w:right w:val="single" w:sz="4" w:space="0" w:color="000000"/>
            </w:tcBorders>
            <w:vAlign w:val="bottom"/>
          </w:tcPr>
          <w:p w14:paraId="78374125"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0,4%</w:t>
            </w:r>
          </w:p>
        </w:tc>
      </w:tr>
      <w:tr w:rsidR="009F762E" w:rsidRPr="00242DFB" w14:paraId="70221826"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5B3CF4B9"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4C853134"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La Macarena</w:t>
            </w:r>
          </w:p>
        </w:tc>
        <w:tc>
          <w:tcPr>
            <w:tcW w:w="1703" w:type="dxa"/>
            <w:tcBorders>
              <w:top w:val="single" w:sz="4" w:space="0" w:color="000000"/>
              <w:left w:val="single" w:sz="4" w:space="0" w:color="000000"/>
              <w:bottom w:val="single" w:sz="4" w:space="0" w:color="000000"/>
              <w:right w:val="single" w:sz="4" w:space="0" w:color="000000"/>
            </w:tcBorders>
            <w:vAlign w:val="bottom"/>
          </w:tcPr>
          <w:p w14:paraId="2CBD631F"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596</w:t>
            </w:r>
          </w:p>
        </w:tc>
        <w:tc>
          <w:tcPr>
            <w:tcW w:w="1560" w:type="dxa"/>
            <w:tcBorders>
              <w:top w:val="single" w:sz="4" w:space="0" w:color="000000"/>
              <w:left w:val="single" w:sz="4" w:space="0" w:color="000000"/>
              <w:bottom w:val="single" w:sz="4" w:space="0" w:color="000000"/>
              <w:right w:val="single" w:sz="4" w:space="0" w:color="000000"/>
            </w:tcBorders>
            <w:vAlign w:val="bottom"/>
          </w:tcPr>
          <w:p w14:paraId="78905DD2"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9.846</w:t>
            </w:r>
          </w:p>
        </w:tc>
        <w:tc>
          <w:tcPr>
            <w:tcW w:w="1354" w:type="dxa"/>
            <w:tcBorders>
              <w:top w:val="single" w:sz="4" w:space="0" w:color="000000"/>
              <w:left w:val="single" w:sz="4" w:space="0" w:color="000000"/>
              <w:bottom w:val="single" w:sz="4" w:space="0" w:color="000000"/>
              <w:right w:val="single" w:sz="4" w:space="0" w:color="000000"/>
            </w:tcBorders>
            <w:vAlign w:val="bottom"/>
          </w:tcPr>
          <w:p w14:paraId="556C3F05"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10.442</w:t>
            </w:r>
          </w:p>
        </w:tc>
        <w:tc>
          <w:tcPr>
            <w:tcW w:w="1074" w:type="dxa"/>
            <w:tcBorders>
              <w:top w:val="single" w:sz="4" w:space="0" w:color="000000"/>
              <w:left w:val="single" w:sz="4" w:space="0" w:color="000000"/>
              <w:bottom w:val="single" w:sz="4" w:space="0" w:color="000000"/>
              <w:right w:val="single" w:sz="4" w:space="0" w:color="000000"/>
            </w:tcBorders>
            <w:vAlign w:val="bottom"/>
          </w:tcPr>
          <w:p w14:paraId="34BA74DD"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0,9%</w:t>
            </w:r>
          </w:p>
        </w:tc>
      </w:tr>
      <w:tr w:rsidR="009F762E" w:rsidRPr="00242DFB" w14:paraId="0191D218"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67057026"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56AC55DE"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Lejanías</w:t>
            </w:r>
          </w:p>
        </w:tc>
        <w:tc>
          <w:tcPr>
            <w:tcW w:w="1703" w:type="dxa"/>
            <w:tcBorders>
              <w:top w:val="single" w:sz="4" w:space="0" w:color="000000"/>
              <w:left w:val="single" w:sz="4" w:space="0" w:color="000000"/>
              <w:bottom w:val="single" w:sz="4" w:space="0" w:color="000000"/>
              <w:right w:val="single" w:sz="4" w:space="0" w:color="000000"/>
            </w:tcBorders>
            <w:vAlign w:val="bottom"/>
          </w:tcPr>
          <w:p w14:paraId="2C670D5A"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379</w:t>
            </w:r>
          </w:p>
        </w:tc>
        <w:tc>
          <w:tcPr>
            <w:tcW w:w="1560" w:type="dxa"/>
            <w:tcBorders>
              <w:top w:val="single" w:sz="4" w:space="0" w:color="000000"/>
              <w:left w:val="single" w:sz="4" w:space="0" w:color="000000"/>
              <w:bottom w:val="single" w:sz="4" w:space="0" w:color="000000"/>
              <w:right w:val="single" w:sz="4" w:space="0" w:color="000000"/>
            </w:tcBorders>
            <w:vAlign w:val="bottom"/>
          </w:tcPr>
          <w:p w14:paraId="0877F829"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8.117</w:t>
            </w:r>
          </w:p>
        </w:tc>
        <w:tc>
          <w:tcPr>
            <w:tcW w:w="1354" w:type="dxa"/>
            <w:tcBorders>
              <w:top w:val="single" w:sz="4" w:space="0" w:color="000000"/>
              <w:left w:val="single" w:sz="4" w:space="0" w:color="000000"/>
              <w:bottom w:val="single" w:sz="4" w:space="0" w:color="000000"/>
              <w:right w:val="single" w:sz="4" w:space="0" w:color="000000"/>
            </w:tcBorders>
            <w:vAlign w:val="bottom"/>
          </w:tcPr>
          <w:p w14:paraId="7D77F4CA"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8.496</w:t>
            </w:r>
          </w:p>
        </w:tc>
        <w:tc>
          <w:tcPr>
            <w:tcW w:w="1074" w:type="dxa"/>
            <w:tcBorders>
              <w:top w:val="single" w:sz="4" w:space="0" w:color="000000"/>
              <w:left w:val="single" w:sz="4" w:space="0" w:color="000000"/>
              <w:bottom w:val="single" w:sz="4" w:space="0" w:color="000000"/>
              <w:right w:val="single" w:sz="4" w:space="0" w:color="000000"/>
            </w:tcBorders>
            <w:vAlign w:val="bottom"/>
          </w:tcPr>
          <w:p w14:paraId="7DF6D68D"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0,8%</w:t>
            </w:r>
          </w:p>
        </w:tc>
      </w:tr>
      <w:tr w:rsidR="009F762E" w:rsidRPr="00242DFB" w14:paraId="6AA95FA5"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5235815D"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69B0B1CA"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Mapiripán</w:t>
            </w:r>
          </w:p>
        </w:tc>
        <w:tc>
          <w:tcPr>
            <w:tcW w:w="1703" w:type="dxa"/>
            <w:tcBorders>
              <w:top w:val="single" w:sz="4" w:space="0" w:color="000000"/>
              <w:left w:val="single" w:sz="4" w:space="0" w:color="000000"/>
              <w:bottom w:val="single" w:sz="4" w:space="0" w:color="000000"/>
              <w:right w:val="single" w:sz="4" w:space="0" w:color="000000"/>
            </w:tcBorders>
            <w:vAlign w:val="bottom"/>
          </w:tcPr>
          <w:p w14:paraId="3AA171FE"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729</w:t>
            </w:r>
          </w:p>
        </w:tc>
        <w:tc>
          <w:tcPr>
            <w:tcW w:w="1560" w:type="dxa"/>
            <w:tcBorders>
              <w:top w:val="single" w:sz="4" w:space="0" w:color="000000"/>
              <w:left w:val="single" w:sz="4" w:space="0" w:color="000000"/>
              <w:bottom w:val="single" w:sz="4" w:space="0" w:color="000000"/>
              <w:right w:val="single" w:sz="4" w:space="0" w:color="000000"/>
            </w:tcBorders>
            <w:vAlign w:val="bottom"/>
          </w:tcPr>
          <w:p w14:paraId="5E9EEE6B"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4.022</w:t>
            </w:r>
          </w:p>
        </w:tc>
        <w:tc>
          <w:tcPr>
            <w:tcW w:w="1354" w:type="dxa"/>
            <w:tcBorders>
              <w:top w:val="single" w:sz="4" w:space="0" w:color="000000"/>
              <w:left w:val="single" w:sz="4" w:space="0" w:color="000000"/>
              <w:bottom w:val="single" w:sz="4" w:space="0" w:color="000000"/>
              <w:right w:val="single" w:sz="4" w:space="0" w:color="000000"/>
            </w:tcBorders>
            <w:vAlign w:val="bottom"/>
          </w:tcPr>
          <w:p w14:paraId="122D7436"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4.751</w:t>
            </w:r>
          </w:p>
        </w:tc>
        <w:tc>
          <w:tcPr>
            <w:tcW w:w="1074" w:type="dxa"/>
            <w:tcBorders>
              <w:top w:val="single" w:sz="4" w:space="0" w:color="000000"/>
              <w:left w:val="single" w:sz="4" w:space="0" w:color="000000"/>
              <w:bottom w:val="single" w:sz="4" w:space="0" w:color="000000"/>
              <w:right w:val="single" w:sz="4" w:space="0" w:color="000000"/>
            </w:tcBorders>
            <w:vAlign w:val="bottom"/>
          </w:tcPr>
          <w:p w14:paraId="74D00053"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0,4%</w:t>
            </w:r>
          </w:p>
        </w:tc>
      </w:tr>
      <w:tr w:rsidR="009F762E" w:rsidRPr="00242DFB" w14:paraId="4E9C86C2"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7EC72191"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lastRenderedPageBreak/>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385FB5B5"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Mesetas</w:t>
            </w:r>
          </w:p>
        </w:tc>
        <w:tc>
          <w:tcPr>
            <w:tcW w:w="1703" w:type="dxa"/>
            <w:tcBorders>
              <w:top w:val="single" w:sz="4" w:space="0" w:color="000000"/>
              <w:left w:val="single" w:sz="4" w:space="0" w:color="000000"/>
              <w:bottom w:val="single" w:sz="4" w:space="0" w:color="000000"/>
              <w:right w:val="single" w:sz="4" w:space="0" w:color="000000"/>
            </w:tcBorders>
            <w:vAlign w:val="bottom"/>
          </w:tcPr>
          <w:p w14:paraId="4ACAA84F"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64</w:t>
            </w:r>
          </w:p>
        </w:tc>
        <w:tc>
          <w:tcPr>
            <w:tcW w:w="1560" w:type="dxa"/>
            <w:tcBorders>
              <w:top w:val="single" w:sz="4" w:space="0" w:color="000000"/>
              <w:left w:val="single" w:sz="4" w:space="0" w:color="000000"/>
              <w:bottom w:val="single" w:sz="4" w:space="0" w:color="000000"/>
              <w:right w:val="single" w:sz="4" w:space="0" w:color="000000"/>
            </w:tcBorders>
            <w:vAlign w:val="bottom"/>
          </w:tcPr>
          <w:p w14:paraId="5BA7CA72"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1.853</w:t>
            </w:r>
          </w:p>
        </w:tc>
        <w:tc>
          <w:tcPr>
            <w:tcW w:w="1354" w:type="dxa"/>
            <w:tcBorders>
              <w:top w:val="single" w:sz="4" w:space="0" w:color="000000"/>
              <w:left w:val="single" w:sz="4" w:space="0" w:color="000000"/>
              <w:bottom w:val="single" w:sz="4" w:space="0" w:color="000000"/>
              <w:right w:val="single" w:sz="4" w:space="0" w:color="000000"/>
            </w:tcBorders>
            <w:vAlign w:val="bottom"/>
          </w:tcPr>
          <w:p w14:paraId="4F0E58E5"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1.917</w:t>
            </w:r>
          </w:p>
        </w:tc>
        <w:tc>
          <w:tcPr>
            <w:tcW w:w="1074" w:type="dxa"/>
            <w:tcBorders>
              <w:top w:val="single" w:sz="4" w:space="0" w:color="000000"/>
              <w:left w:val="single" w:sz="4" w:space="0" w:color="000000"/>
              <w:bottom w:val="single" w:sz="4" w:space="0" w:color="000000"/>
              <w:right w:val="single" w:sz="4" w:space="0" w:color="000000"/>
            </w:tcBorders>
            <w:vAlign w:val="bottom"/>
          </w:tcPr>
          <w:p w14:paraId="74752F17"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0,2%</w:t>
            </w:r>
          </w:p>
        </w:tc>
      </w:tr>
      <w:tr w:rsidR="009F762E" w:rsidRPr="00242DFB" w14:paraId="77DA2243"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65EA8EA0"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726E7B45"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Puerto Concordia</w:t>
            </w:r>
          </w:p>
        </w:tc>
        <w:tc>
          <w:tcPr>
            <w:tcW w:w="1703" w:type="dxa"/>
            <w:tcBorders>
              <w:top w:val="single" w:sz="4" w:space="0" w:color="000000"/>
              <w:left w:val="single" w:sz="4" w:space="0" w:color="000000"/>
              <w:bottom w:val="single" w:sz="4" w:space="0" w:color="000000"/>
              <w:right w:val="single" w:sz="4" w:space="0" w:color="000000"/>
            </w:tcBorders>
            <w:vAlign w:val="bottom"/>
          </w:tcPr>
          <w:p w14:paraId="137BFC88"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16</w:t>
            </w:r>
          </w:p>
        </w:tc>
        <w:tc>
          <w:tcPr>
            <w:tcW w:w="1560" w:type="dxa"/>
            <w:tcBorders>
              <w:top w:val="single" w:sz="4" w:space="0" w:color="000000"/>
              <w:left w:val="single" w:sz="4" w:space="0" w:color="000000"/>
              <w:bottom w:val="single" w:sz="4" w:space="0" w:color="000000"/>
              <w:right w:val="single" w:sz="4" w:space="0" w:color="000000"/>
            </w:tcBorders>
            <w:vAlign w:val="bottom"/>
          </w:tcPr>
          <w:p w14:paraId="1693A7A1"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147</w:t>
            </w:r>
          </w:p>
        </w:tc>
        <w:tc>
          <w:tcPr>
            <w:tcW w:w="1354" w:type="dxa"/>
            <w:tcBorders>
              <w:top w:val="single" w:sz="4" w:space="0" w:color="000000"/>
              <w:left w:val="single" w:sz="4" w:space="0" w:color="000000"/>
              <w:bottom w:val="single" w:sz="4" w:space="0" w:color="000000"/>
              <w:right w:val="single" w:sz="4" w:space="0" w:color="000000"/>
            </w:tcBorders>
            <w:vAlign w:val="bottom"/>
          </w:tcPr>
          <w:p w14:paraId="39928423"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163</w:t>
            </w:r>
          </w:p>
        </w:tc>
        <w:tc>
          <w:tcPr>
            <w:tcW w:w="1074" w:type="dxa"/>
            <w:tcBorders>
              <w:top w:val="single" w:sz="4" w:space="0" w:color="000000"/>
              <w:left w:val="single" w:sz="4" w:space="0" w:color="000000"/>
              <w:bottom w:val="single" w:sz="4" w:space="0" w:color="000000"/>
              <w:right w:val="single" w:sz="4" w:space="0" w:color="000000"/>
            </w:tcBorders>
            <w:vAlign w:val="bottom"/>
          </w:tcPr>
          <w:p w14:paraId="44E3F27B"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0,0%</w:t>
            </w:r>
          </w:p>
        </w:tc>
      </w:tr>
      <w:tr w:rsidR="009F762E" w:rsidRPr="00242DFB" w14:paraId="658A5AFD"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06614C6B"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5DBD63E2"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Puerto Gaitán</w:t>
            </w:r>
          </w:p>
        </w:tc>
        <w:tc>
          <w:tcPr>
            <w:tcW w:w="1703" w:type="dxa"/>
            <w:tcBorders>
              <w:top w:val="single" w:sz="4" w:space="0" w:color="000000"/>
              <w:left w:val="single" w:sz="4" w:space="0" w:color="000000"/>
              <w:bottom w:val="single" w:sz="4" w:space="0" w:color="000000"/>
              <w:right w:val="single" w:sz="4" w:space="0" w:color="000000"/>
            </w:tcBorders>
            <w:vAlign w:val="bottom"/>
          </w:tcPr>
          <w:p w14:paraId="45ADCC16"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594</w:t>
            </w:r>
          </w:p>
        </w:tc>
        <w:tc>
          <w:tcPr>
            <w:tcW w:w="1560" w:type="dxa"/>
            <w:tcBorders>
              <w:top w:val="single" w:sz="4" w:space="0" w:color="000000"/>
              <w:left w:val="single" w:sz="4" w:space="0" w:color="000000"/>
              <w:bottom w:val="single" w:sz="4" w:space="0" w:color="000000"/>
              <w:right w:val="single" w:sz="4" w:space="0" w:color="000000"/>
            </w:tcBorders>
            <w:vAlign w:val="bottom"/>
          </w:tcPr>
          <w:p w14:paraId="377B52EA"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1.953</w:t>
            </w:r>
          </w:p>
        </w:tc>
        <w:tc>
          <w:tcPr>
            <w:tcW w:w="1354" w:type="dxa"/>
            <w:tcBorders>
              <w:top w:val="single" w:sz="4" w:space="0" w:color="000000"/>
              <w:left w:val="single" w:sz="4" w:space="0" w:color="000000"/>
              <w:bottom w:val="single" w:sz="4" w:space="0" w:color="000000"/>
              <w:right w:val="single" w:sz="4" w:space="0" w:color="000000"/>
            </w:tcBorders>
            <w:vAlign w:val="bottom"/>
          </w:tcPr>
          <w:p w14:paraId="1128BC91"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2.547</w:t>
            </w:r>
          </w:p>
        </w:tc>
        <w:tc>
          <w:tcPr>
            <w:tcW w:w="1074" w:type="dxa"/>
            <w:tcBorders>
              <w:top w:val="single" w:sz="4" w:space="0" w:color="000000"/>
              <w:left w:val="single" w:sz="4" w:space="0" w:color="000000"/>
              <w:bottom w:val="single" w:sz="4" w:space="0" w:color="000000"/>
              <w:right w:val="single" w:sz="4" w:space="0" w:color="000000"/>
            </w:tcBorders>
            <w:vAlign w:val="bottom"/>
          </w:tcPr>
          <w:p w14:paraId="62D6CD2E"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0,2%</w:t>
            </w:r>
          </w:p>
        </w:tc>
      </w:tr>
      <w:tr w:rsidR="009F762E" w:rsidRPr="00242DFB" w14:paraId="60E1BF99"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07D190BA"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0DA9E9DE"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Puerto Lleras</w:t>
            </w:r>
          </w:p>
        </w:tc>
        <w:tc>
          <w:tcPr>
            <w:tcW w:w="1703" w:type="dxa"/>
            <w:tcBorders>
              <w:top w:val="single" w:sz="4" w:space="0" w:color="000000"/>
              <w:left w:val="single" w:sz="4" w:space="0" w:color="000000"/>
              <w:bottom w:val="single" w:sz="4" w:space="0" w:color="000000"/>
              <w:right w:val="single" w:sz="4" w:space="0" w:color="000000"/>
            </w:tcBorders>
            <w:vAlign w:val="bottom"/>
          </w:tcPr>
          <w:p w14:paraId="4A7DA943"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416</w:t>
            </w:r>
          </w:p>
        </w:tc>
        <w:tc>
          <w:tcPr>
            <w:tcW w:w="1560" w:type="dxa"/>
            <w:tcBorders>
              <w:top w:val="single" w:sz="4" w:space="0" w:color="000000"/>
              <w:left w:val="single" w:sz="4" w:space="0" w:color="000000"/>
              <w:bottom w:val="single" w:sz="4" w:space="0" w:color="000000"/>
              <w:right w:val="single" w:sz="4" w:space="0" w:color="000000"/>
            </w:tcBorders>
            <w:vAlign w:val="bottom"/>
          </w:tcPr>
          <w:p w14:paraId="51D35158"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4.799</w:t>
            </w:r>
          </w:p>
        </w:tc>
        <w:tc>
          <w:tcPr>
            <w:tcW w:w="1354" w:type="dxa"/>
            <w:tcBorders>
              <w:top w:val="single" w:sz="4" w:space="0" w:color="000000"/>
              <w:left w:val="single" w:sz="4" w:space="0" w:color="000000"/>
              <w:bottom w:val="single" w:sz="4" w:space="0" w:color="000000"/>
              <w:right w:val="single" w:sz="4" w:space="0" w:color="000000"/>
            </w:tcBorders>
            <w:vAlign w:val="bottom"/>
          </w:tcPr>
          <w:p w14:paraId="32E48D4A"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5.215</w:t>
            </w:r>
          </w:p>
        </w:tc>
        <w:tc>
          <w:tcPr>
            <w:tcW w:w="1074" w:type="dxa"/>
            <w:tcBorders>
              <w:top w:val="single" w:sz="4" w:space="0" w:color="000000"/>
              <w:left w:val="single" w:sz="4" w:space="0" w:color="000000"/>
              <w:bottom w:val="single" w:sz="4" w:space="0" w:color="000000"/>
              <w:right w:val="single" w:sz="4" w:space="0" w:color="000000"/>
            </w:tcBorders>
            <w:vAlign w:val="bottom"/>
          </w:tcPr>
          <w:p w14:paraId="050D0E14"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0,5%</w:t>
            </w:r>
          </w:p>
        </w:tc>
      </w:tr>
      <w:tr w:rsidR="009F762E" w:rsidRPr="00242DFB" w14:paraId="00EFDE61"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4F804279"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0682F965"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Puerto López</w:t>
            </w:r>
          </w:p>
        </w:tc>
        <w:tc>
          <w:tcPr>
            <w:tcW w:w="1703" w:type="dxa"/>
            <w:tcBorders>
              <w:top w:val="single" w:sz="4" w:space="0" w:color="000000"/>
              <w:left w:val="single" w:sz="4" w:space="0" w:color="000000"/>
              <w:bottom w:val="single" w:sz="4" w:space="0" w:color="000000"/>
              <w:right w:val="single" w:sz="4" w:space="0" w:color="000000"/>
            </w:tcBorders>
            <w:vAlign w:val="bottom"/>
          </w:tcPr>
          <w:p w14:paraId="69A65E92"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1.279</w:t>
            </w:r>
          </w:p>
        </w:tc>
        <w:tc>
          <w:tcPr>
            <w:tcW w:w="1560" w:type="dxa"/>
            <w:tcBorders>
              <w:top w:val="single" w:sz="4" w:space="0" w:color="000000"/>
              <w:left w:val="single" w:sz="4" w:space="0" w:color="000000"/>
              <w:bottom w:val="single" w:sz="4" w:space="0" w:color="000000"/>
              <w:right w:val="single" w:sz="4" w:space="0" w:color="000000"/>
            </w:tcBorders>
            <w:vAlign w:val="bottom"/>
          </w:tcPr>
          <w:p w14:paraId="2E8700CD"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9.763</w:t>
            </w:r>
          </w:p>
        </w:tc>
        <w:tc>
          <w:tcPr>
            <w:tcW w:w="1354" w:type="dxa"/>
            <w:tcBorders>
              <w:top w:val="single" w:sz="4" w:space="0" w:color="000000"/>
              <w:left w:val="single" w:sz="4" w:space="0" w:color="000000"/>
              <w:bottom w:val="single" w:sz="4" w:space="0" w:color="000000"/>
              <w:right w:val="single" w:sz="4" w:space="0" w:color="000000"/>
            </w:tcBorders>
            <w:vAlign w:val="bottom"/>
          </w:tcPr>
          <w:p w14:paraId="0C367252"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11.042</w:t>
            </w:r>
          </w:p>
        </w:tc>
        <w:tc>
          <w:tcPr>
            <w:tcW w:w="1074" w:type="dxa"/>
            <w:tcBorders>
              <w:top w:val="single" w:sz="4" w:space="0" w:color="000000"/>
              <w:left w:val="single" w:sz="4" w:space="0" w:color="000000"/>
              <w:bottom w:val="single" w:sz="4" w:space="0" w:color="000000"/>
              <w:right w:val="single" w:sz="4" w:space="0" w:color="000000"/>
            </w:tcBorders>
            <w:vAlign w:val="bottom"/>
          </w:tcPr>
          <w:p w14:paraId="1FCC6FF5"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1,0%</w:t>
            </w:r>
          </w:p>
        </w:tc>
      </w:tr>
      <w:tr w:rsidR="009F762E" w:rsidRPr="00242DFB" w14:paraId="4FD8D22F"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0D32D096"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7178B773"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Puerto Rico</w:t>
            </w:r>
          </w:p>
        </w:tc>
        <w:tc>
          <w:tcPr>
            <w:tcW w:w="1703" w:type="dxa"/>
            <w:tcBorders>
              <w:top w:val="single" w:sz="4" w:space="0" w:color="000000"/>
              <w:left w:val="single" w:sz="4" w:space="0" w:color="000000"/>
              <w:bottom w:val="single" w:sz="4" w:space="0" w:color="000000"/>
              <w:right w:val="single" w:sz="4" w:space="0" w:color="000000"/>
            </w:tcBorders>
            <w:vAlign w:val="bottom"/>
          </w:tcPr>
          <w:p w14:paraId="3F229B85"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712</w:t>
            </w:r>
          </w:p>
        </w:tc>
        <w:tc>
          <w:tcPr>
            <w:tcW w:w="1560" w:type="dxa"/>
            <w:tcBorders>
              <w:top w:val="single" w:sz="4" w:space="0" w:color="000000"/>
              <w:left w:val="single" w:sz="4" w:space="0" w:color="000000"/>
              <w:bottom w:val="single" w:sz="4" w:space="0" w:color="000000"/>
              <w:right w:val="single" w:sz="4" w:space="0" w:color="000000"/>
            </w:tcBorders>
            <w:vAlign w:val="bottom"/>
          </w:tcPr>
          <w:p w14:paraId="2DB50C5E"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7.564</w:t>
            </w:r>
          </w:p>
        </w:tc>
        <w:tc>
          <w:tcPr>
            <w:tcW w:w="1354" w:type="dxa"/>
            <w:tcBorders>
              <w:top w:val="single" w:sz="4" w:space="0" w:color="000000"/>
              <w:left w:val="single" w:sz="4" w:space="0" w:color="000000"/>
              <w:bottom w:val="single" w:sz="4" w:space="0" w:color="000000"/>
              <w:right w:val="single" w:sz="4" w:space="0" w:color="000000"/>
            </w:tcBorders>
            <w:vAlign w:val="bottom"/>
          </w:tcPr>
          <w:p w14:paraId="15A83DD4"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8.276</w:t>
            </w:r>
          </w:p>
        </w:tc>
        <w:tc>
          <w:tcPr>
            <w:tcW w:w="1074" w:type="dxa"/>
            <w:tcBorders>
              <w:top w:val="single" w:sz="4" w:space="0" w:color="000000"/>
              <w:left w:val="single" w:sz="4" w:space="0" w:color="000000"/>
              <w:bottom w:val="single" w:sz="4" w:space="0" w:color="000000"/>
              <w:right w:val="single" w:sz="4" w:space="0" w:color="000000"/>
            </w:tcBorders>
            <w:vAlign w:val="bottom"/>
          </w:tcPr>
          <w:p w14:paraId="7258B306"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0,7%</w:t>
            </w:r>
          </w:p>
        </w:tc>
      </w:tr>
      <w:tr w:rsidR="009F762E" w:rsidRPr="00242DFB" w14:paraId="4BC2B15C" w14:textId="77777777" w:rsidTr="0014328E">
        <w:trPr>
          <w:cantSplit/>
          <w:trHeight w:val="31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4C042938"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56AE2282"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Restrepo</w:t>
            </w:r>
          </w:p>
        </w:tc>
        <w:tc>
          <w:tcPr>
            <w:tcW w:w="1703" w:type="dxa"/>
            <w:tcBorders>
              <w:top w:val="single" w:sz="4" w:space="0" w:color="000000"/>
              <w:left w:val="single" w:sz="4" w:space="0" w:color="000000"/>
              <w:bottom w:val="single" w:sz="4" w:space="0" w:color="000000"/>
              <w:right w:val="single" w:sz="4" w:space="0" w:color="000000"/>
            </w:tcBorders>
            <w:vAlign w:val="bottom"/>
          </w:tcPr>
          <w:p w14:paraId="716EB4E8"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604</w:t>
            </w:r>
          </w:p>
        </w:tc>
        <w:tc>
          <w:tcPr>
            <w:tcW w:w="1560" w:type="dxa"/>
            <w:tcBorders>
              <w:top w:val="single" w:sz="4" w:space="0" w:color="000000"/>
              <w:left w:val="single" w:sz="4" w:space="0" w:color="000000"/>
              <w:bottom w:val="single" w:sz="4" w:space="0" w:color="000000"/>
              <w:right w:val="single" w:sz="4" w:space="0" w:color="000000"/>
            </w:tcBorders>
            <w:vAlign w:val="bottom"/>
          </w:tcPr>
          <w:p w14:paraId="3F1F26C3"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4.886</w:t>
            </w:r>
          </w:p>
        </w:tc>
        <w:tc>
          <w:tcPr>
            <w:tcW w:w="1354" w:type="dxa"/>
            <w:tcBorders>
              <w:top w:val="single" w:sz="4" w:space="0" w:color="000000"/>
              <w:left w:val="single" w:sz="4" w:space="0" w:color="000000"/>
              <w:bottom w:val="single" w:sz="4" w:space="0" w:color="000000"/>
              <w:right w:val="single" w:sz="4" w:space="0" w:color="000000"/>
            </w:tcBorders>
            <w:vAlign w:val="bottom"/>
          </w:tcPr>
          <w:p w14:paraId="291ED1B2"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5.490</w:t>
            </w:r>
          </w:p>
        </w:tc>
        <w:tc>
          <w:tcPr>
            <w:tcW w:w="1074" w:type="dxa"/>
            <w:tcBorders>
              <w:top w:val="single" w:sz="4" w:space="0" w:color="000000"/>
              <w:left w:val="single" w:sz="4" w:space="0" w:color="000000"/>
              <w:bottom w:val="single" w:sz="4" w:space="0" w:color="000000"/>
              <w:right w:val="single" w:sz="4" w:space="0" w:color="000000"/>
            </w:tcBorders>
            <w:vAlign w:val="bottom"/>
          </w:tcPr>
          <w:p w14:paraId="1E5F5EC0"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0,5%</w:t>
            </w:r>
          </w:p>
        </w:tc>
      </w:tr>
      <w:tr w:rsidR="009F762E" w:rsidRPr="00242DFB" w14:paraId="6A220FE8"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071AE673"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2E077CF4"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San Carlos De Guaroa</w:t>
            </w:r>
          </w:p>
        </w:tc>
        <w:tc>
          <w:tcPr>
            <w:tcW w:w="1703" w:type="dxa"/>
            <w:tcBorders>
              <w:top w:val="single" w:sz="4" w:space="0" w:color="000000"/>
              <w:left w:val="single" w:sz="4" w:space="0" w:color="000000"/>
              <w:bottom w:val="single" w:sz="4" w:space="0" w:color="000000"/>
              <w:right w:val="single" w:sz="4" w:space="0" w:color="000000"/>
            </w:tcBorders>
            <w:vAlign w:val="bottom"/>
          </w:tcPr>
          <w:p w14:paraId="705178CD"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892</w:t>
            </w:r>
          </w:p>
        </w:tc>
        <w:tc>
          <w:tcPr>
            <w:tcW w:w="1560" w:type="dxa"/>
            <w:tcBorders>
              <w:top w:val="single" w:sz="4" w:space="0" w:color="000000"/>
              <w:left w:val="single" w:sz="4" w:space="0" w:color="000000"/>
              <w:bottom w:val="single" w:sz="4" w:space="0" w:color="000000"/>
              <w:right w:val="single" w:sz="4" w:space="0" w:color="000000"/>
            </w:tcBorders>
            <w:vAlign w:val="bottom"/>
          </w:tcPr>
          <w:p w14:paraId="00943A5A"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3.997</w:t>
            </w:r>
          </w:p>
        </w:tc>
        <w:tc>
          <w:tcPr>
            <w:tcW w:w="1354" w:type="dxa"/>
            <w:tcBorders>
              <w:top w:val="single" w:sz="4" w:space="0" w:color="000000"/>
              <w:left w:val="single" w:sz="4" w:space="0" w:color="000000"/>
              <w:bottom w:val="single" w:sz="4" w:space="0" w:color="000000"/>
              <w:right w:val="single" w:sz="4" w:space="0" w:color="000000"/>
            </w:tcBorders>
            <w:vAlign w:val="bottom"/>
          </w:tcPr>
          <w:p w14:paraId="518F3522"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4.889</w:t>
            </w:r>
          </w:p>
        </w:tc>
        <w:tc>
          <w:tcPr>
            <w:tcW w:w="1074" w:type="dxa"/>
            <w:tcBorders>
              <w:top w:val="single" w:sz="4" w:space="0" w:color="000000"/>
              <w:left w:val="single" w:sz="4" w:space="0" w:color="000000"/>
              <w:bottom w:val="single" w:sz="4" w:space="0" w:color="000000"/>
              <w:right w:val="single" w:sz="4" w:space="0" w:color="000000"/>
            </w:tcBorders>
            <w:vAlign w:val="bottom"/>
          </w:tcPr>
          <w:p w14:paraId="7DF63A28"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0,4%</w:t>
            </w:r>
          </w:p>
        </w:tc>
      </w:tr>
      <w:tr w:rsidR="009F762E" w:rsidRPr="00242DFB" w14:paraId="523922AC"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37C92F64"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3C2BEFB0"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San Juan De Arama</w:t>
            </w:r>
          </w:p>
        </w:tc>
        <w:tc>
          <w:tcPr>
            <w:tcW w:w="1703" w:type="dxa"/>
            <w:tcBorders>
              <w:top w:val="single" w:sz="4" w:space="0" w:color="000000"/>
              <w:left w:val="single" w:sz="4" w:space="0" w:color="000000"/>
              <w:bottom w:val="single" w:sz="4" w:space="0" w:color="000000"/>
              <w:right w:val="single" w:sz="4" w:space="0" w:color="000000"/>
            </w:tcBorders>
            <w:vAlign w:val="bottom"/>
          </w:tcPr>
          <w:p w14:paraId="7C96FD0A"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367</w:t>
            </w:r>
          </w:p>
        </w:tc>
        <w:tc>
          <w:tcPr>
            <w:tcW w:w="1560" w:type="dxa"/>
            <w:tcBorders>
              <w:top w:val="single" w:sz="4" w:space="0" w:color="000000"/>
              <w:left w:val="single" w:sz="4" w:space="0" w:color="000000"/>
              <w:bottom w:val="single" w:sz="4" w:space="0" w:color="000000"/>
              <w:right w:val="single" w:sz="4" w:space="0" w:color="000000"/>
            </w:tcBorders>
            <w:vAlign w:val="bottom"/>
          </w:tcPr>
          <w:p w14:paraId="47765B20"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4.217</w:t>
            </w:r>
          </w:p>
        </w:tc>
        <w:tc>
          <w:tcPr>
            <w:tcW w:w="1354" w:type="dxa"/>
            <w:tcBorders>
              <w:top w:val="single" w:sz="4" w:space="0" w:color="000000"/>
              <w:left w:val="single" w:sz="4" w:space="0" w:color="000000"/>
              <w:bottom w:val="single" w:sz="4" w:space="0" w:color="000000"/>
              <w:right w:val="single" w:sz="4" w:space="0" w:color="000000"/>
            </w:tcBorders>
            <w:vAlign w:val="bottom"/>
          </w:tcPr>
          <w:p w14:paraId="2292A315"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4.584</w:t>
            </w:r>
          </w:p>
        </w:tc>
        <w:tc>
          <w:tcPr>
            <w:tcW w:w="1074" w:type="dxa"/>
            <w:tcBorders>
              <w:top w:val="single" w:sz="4" w:space="0" w:color="000000"/>
              <w:left w:val="single" w:sz="4" w:space="0" w:color="000000"/>
              <w:bottom w:val="single" w:sz="4" w:space="0" w:color="000000"/>
              <w:right w:val="single" w:sz="4" w:space="0" w:color="000000"/>
            </w:tcBorders>
            <w:vAlign w:val="bottom"/>
          </w:tcPr>
          <w:p w14:paraId="6E8728E7"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0,4%</w:t>
            </w:r>
          </w:p>
        </w:tc>
      </w:tr>
      <w:tr w:rsidR="009F762E" w:rsidRPr="00242DFB" w14:paraId="40278CA4" w14:textId="77777777" w:rsidTr="0014328E">
        <w:trPr>
          <w:cantSplit/>
          <w:trHeight w:val="31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74F40AF4"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5155371D"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San Juanito</w:t>
            </w:r>
          </w:p>
        </w:tc>
        <w:tc>
          <w:tcPr>
            <w:tcW w:w="1703" w:type="dxa"/>
            <w:tcBorders>
              <w:top w:val="single" w:sz="4" w:space="0" w:color="000000"/>
              <w:left w:val="single" w:sz="4" w:space="0" w:color="000000"/>
              <w:bottom w:val="single" w:sz="4" w:space="0" w:color="000000"/>
              <w:right w:val="single" w:sz="4" w:space="0" w:color="000000"/>
            </w:tcBorders>
            <w:vAlign w:val="bottom"/>
          </w:tcPr>
          <w:p w14:paraId="4D3032C5"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129</w:t>
            </w:r>
          </w:p>
        </w:tc>
        <w:tc>
          <w:tcPr>
            <w:tcW w:w="1560" w:type="dxa"/>
            <w:tcBorders>
              <w:top w:val="single" w:sz="4" w:space="0" w:color="000000"/>
              <w:left w:val="single" w:sz="4" w:space="0" w:color="000000"/>
              <w:bottom w:val="single" w:sz="4" w:space="0" w:color="000000"/>
              <w:right w:val="single" w:sz="4" w:space="0" w:color="000000"/>
            </w:tcBorders>
            <w:vAlign w:val="bottom"/>
          </w:tcPr>
          <w:p w14:paraId="4D18843C"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1.257</w:t>
            </w:r>
          </w:p>
        </w:tc>
        <w:tc>
          <w:tcPr>
            <w:tcW w:w="1354" w:type="dxa"/>
            <w:tcBorders>
              <w:top w:val="single" w:sz="4" w:space="0" w:color="000000"/>
              <w:left w:val="single" w:sz="4" w:space="0" w:color="000000"/>
              <w:bottom w:val="single" w:sz="4" w:space="0" w:color="000000"/>
              <w:right w:val="single" w:sz="4" w:space="0" w:color="000000"/>
            </w:tcBorders>
            <w:vAlign w:val="bottom"/>
          </w:tcPr>
          <w:p w14:paraId="4095D560"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1.386</w:t>
            </w:r>
          </w:p>
        </w:tc>
        <w:tc>
          <w:tcPr>
            <w:tcW w:w="1074" w:type="dxa"/>
            <w:tcBorders>
              <w:top w:val="single" w:sz="4" w:space="0" w:color="000000"/>
              <w:left w:val="single" w:sz="4" w:space="0" w:color="000000"/>
              <w:bottom w:val="single" w:sz="4" w:space="0" w:color="000000"/>
              <w:right w:val="single" w:sz="4" w:space="0" w:color="000000"/>
            </w:tcBorders>
            <w:vAlign w:val="bottom"/>
          </w:tcPr>
          <w:p w14:paraId="4F27AD13"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0,1%</w:t>
            </w:r>
          </w:p>
        </w:tc>
      </w:tr>
      <w:tr w:rsidR="009F762E" w:rsidRPr="00242DFB" w14:paraId="230A6112"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484B4825"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0B1B81BF"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San Martín</w:t>
            </w:r>
          </w:p>
        </w:tc>
        <w:tc>
          <w:tcPr>
            <w:tcW w:w="1703" w:type="dxa"/>
            <w:tcBorders>
              <w:top w:val="single" w:sz="4" w:space="0" w:color="000000"/>
              <w:left w:val="single" w:sz="4" w:space="0" w:color="000000"/>
              <w:bottom w:val="single" w:sz="4" w:space="0" w:color="000000"/>
              <w:right w:val="single" w:sz="4" w:space="0" w:color="000000"/>
            </w:tcBorders>
            <w:vAlign w:val="bottom"/>
          </w:tcPr>
          <w:p w14:paraId="394D28BF"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1.160</w:t>
            </w:r>
          </w:p>
        </w:tc>
        <w:tc>
          <w:tcPr>
            <w:tcW w:w="1560" w:type="dxa"/>
            <w:tcBorders>
              <w:top w:val="single" w:sz="4" w:space="0" w:color="000000"/>
              <w:left w:val="single" w:sz="4" w:space="0" w:color="000000"/>
              <w:bottom w:val="single" w:sz="4" w:space="0" w:color="000000"/>
              <w:right w:val="single" w:sz="4" w:space="0" w:color="000000"/>
            </w:tcBorders>
            <w:vAlign w:val="bottom"/>
          </w:tcPr>
          <w:p w14:paraId="6020EF3E"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8.089</w:t>
            </w:r>
          </w:p>
        </w:tc>
        <w:tc>
          <w:tcPr>
            <w:tcW w:w="1354" w:type="dxa"/>
            <w:tcBorders>
              <w:top w:val="single" w:sz="4" w:space="0" w:color="000000"/>
              <w:left w:val="single" w:sz="4" w:space="0" w:color="000000"/>
              <w:bottom w:val="single" w:sz="4" w:space="0" w:color="000000"/>
              <w:right w:val="single" w:sz="4" w:space="0" w:color="000000"/>
            </w:tcBorders>
            <w:vAlign w:val="bottom"/>
          </w:tcPr>
          <w:p w14:paraId="6A86FEC7"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9.249</w:t>
            </w:r>
          </w:p>
        </w:tc>
        <w:tc>
          <w:tcPr>
            <w:tcW w:w="1074" w:type="dxa"/>
            <w:tcBorders>
              <w:top w:val="single" w:sz="4" w:space="0" w:color="000000"/>
              <w:left w:val="single" w:sz="4" w:space="0" w:color="000000"/>
              <w:bottom w:val="single" w:sz="4" w:space="0" w:color="000000"/>
              <w:right w:val="single" w:sz="4" w:space="0" w:color="000000"/>
            </w:tcBorders>
            <w:vAlign w:val="bottom"/>
          </w:tcPr>
          <w:p w14:paraId="57E90FA7"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0,8%</w:t>
            </w:r>
          </w:p>
        </w:tc>
      </w:tr>
      <w:tr w:rsidR="009F762E" w:rsidRPr="00242DFB" w14:paraId="0EA64807"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603ABC7D"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485DF627"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Uribe</w:t>
            </w:r>
          </w:p>
        </w:tc>
        <w:tc>
          <w:tcPr>
            <w:tcW w:w="1703" w:type="dxa"/>
            <w:tcBorders>
              <w:top w:val="single" w:sz="4" w:space="0" w:color="000000"/>
              <w:left w:val="single" w:sz="4" w:space="0" w:color="000000"/>
              <w:bottom w:val="single" w:sz="4" w:space="0" w:color="000000"/>
              <w:right w:val="single" w:sz="4" w:space="0" w:color="000000"/>
            </w:tcBorders>
            <w:vAlign w:val="bottom"/>
          </w:tcPr>
          <w:p w14:paraId="57B921D7"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456</w:t>
            </w:r>
          </w:p>
        </w:tc>
        <w:tc>
          <w:tcPr>
            <w:tcW w:w="1560" w:type="dxa"/>
            <w:tcBorders>
              <w:top w:val="single" w:sz="4" w:space="0" w:color="000000"/>
              <w:left w:val="single" w:sz="4" w:space="0" w:color="000000"/>
              <w:bottom w:val="single" w:sz="4" w:space="0" w:color="000000"/>
              <w:right w:val="single" w:sz="4" w:space="0" w:color="000000"/>
            </w:tcBorders>
            <w:vAlign w:val="bottom"/>
          </w:tcPr>
          <w:p w14:paraId="74540F9E"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7.663</w:t>
            </w:r>
          </w:p>
        </w:tc>
        <w:tc>
          <w:tcPr>
            <w:tcW w:w="1354" w:type="dxa"/>
            <w:tcBorders>
              <w:top w:val="single" w:sz="4" w:space="0" w:color="000000"/>
              <w:left w:val="single" w:sz="4" w:space="0" w:color="000000"/>
              <w:bottom w:val="single" w:sz="4" w:space="0" w:color="000000"/>
              <w:right w:val="single" w:sz="4" w:space="0" w:color="000000"/>
            </w:tcBorders>
            <w:vAlign w:val="bottom"/>
          </w:tcPr>
          <w:p w14:paraId="57E80A6C"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8.119</w:t>
            </w:r>
          </w:p>
        </w:tc>
        <w:tc>
          <w:tcPr>
            <w:tcW w:w="1074" w:type="dxa"/>
            <w:tcBorders>
              <w:top w:val="single" w:sz="4" w:space="0" w:color="000000"/>
              <w:left w:val="single" w:sz="4" w:space="0" w:color="000000"/>
              <w:bottom w:val="single" w:sz="4" w:space="0" w:color="000000"/>
              <w:right w:val="single" w:sz="4" w:space="0" w:color="000000"/>
            </w:tcBorders>
            <w:vAlign w:val="bottom"/>
          </w:tcPr>
          <w:p w14:paraId="7BE4ABF8"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0,7%</w:t>
            </w:r>
          </w:p>
        </w:tc>
      </w:tr>
      <w:tr w:rsidR="009F762E" w:rsidRPr="00242DFB" w14:paraId="2D9E1077"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1C25DCA2"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738DED25"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Villavicencio</w:t>
            </w:r>
          </w:p>
        </w:tc>
        <w:tc>
          <w:tcPr>
            <w:tcW w:w="1703" w:type="dxa"/>
            <w:tcBorders>
              <w:top w:val="single" w:sz="4" w:space="0" w:color="000000"/>
              <w:left w:val="single" w:sz="4" w:space="0" w:color="000000"/>
              <w:bottom w:val="single" w:sz="4" w:space="0" w:color="000000"/>
              <w:right w:val="single" w:sz="4" w:space="0" w:color="000000"/>
            </w:tcBorders>
            <w:vAlign w:val="bottom"/>
          </w:tcPr>
          <w:p w14:paraId="26CF8A6C"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5.813</w:t>
            </w:r>
          </w:p>
        </w:tc>
        <w:tc>
          <w:tcPr>
            <w:tcW w:w="1560" w:type="dxa"/>
            <w:tcBorders>
              <w:top w:val="single" w:sz="4" w:space="0" w:color="000000"/>
              <w:left w:val="single" w:sz="4" w:space="0" w:color="000000"/>
              <w:bottom w:val="single" w:sz="4" w:space="0" w:color="000000"/>
              <w:right w:val="single" w:sz="4" w:space="0" w:color="000000"/>
            </w:tcBorders>
            <w:vAlign w:val="bottom"/>
          </w:tcPr>
          <w:p w14:paraId="02FE0CF5"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52.762</w:t>
            </w:r>
          </w:p>
        </w:tc>
        <w:tc>
          <w:tcPr>
            <w:tcW w:w="1354" w:type="dxa"/>
            <w:tcBorders>
              <w:top w:val="single" w:sz="4" w:space="0" w:color="000000"/>
              <w:left w:val="single" w:sz="4" w:space="0" w:color="000000"/>
              <w:bottom w:val="single" w:sz="4" w:space="0" w:color="000000"/>
              <w:right w:val="single" w:sz="4" w:space="0" w:color="000000"/>
            </w:tcBorders>
            <w:vAlign w:val="bottom"/>
          </w:tcPr>
          <w:p w14:paraId="6743BD90"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58.575</w:t>
            </w:r>
          </w:p>
        </w:tc>
        <w:tc>
          <w:tcPr>
            <w:tcW w:w="1074" w:type="dxa"/>
            <w:tcBorders>
              <w:top w:val="single" w:sz="4" w:space="0" w:color="000000"/>
              <w:left w:val="single" w:sz="4" w:space="0" w:color="000000"/>
              <w:bottom w:val="single" w:sz="4" w:space="0" w:color="000000"/>
              <w:right w:val="single" w:sz="4" w:space="0" w:color="000000"/>
            </w:tcBorders>
            <w:vAlign w:val="bottom"/>
          </w:tcPr>
          <w:p w14:paraId="2CCC1DC0"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5,2%</w:t>
            </w:r>
          </w:p>
        </w:tc>
      </w:tr>
      <w:tr w:rsidR="009F762E" w:rsidRPr="00242DFB" w14:paraId="7DD139F5"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23EA642C"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7211B5A3"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rPr>
              <w:t>Vistahermosa</w:t>
            </w:r>
          </w:p>
        </w:tc>
        <w:tc>
          <w:tcPr>
            <w:tcW w:w="1703" w:type="dxa"/>
            <w:tcBorders>
              <w:top w:val="single" w:sz="4" w:space="0" w:color="000000"/>
              <w:left w:val="single" w:sz="4" w:space="0" w:color="000000"/>
              <w:bottom w:val="single" w:sz="4" w:space="0" w:color="000000"/>
              <w:right w:val="single" w:sz="4" w:space="0" w:color="000000"/>
            </w:tcBorders>
            <w:vAlign w:val="bottom"/>
          </w:tcPr>
          <w:p w14:paraId="2C721D43"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491</w:t>
            </w:r>
          </w:p>
        </w:tc>
        <w:tc>
          <w:tcPr>
            <w:tcW w:w="1560" w:type="dxa"/>
            <w:tcBorders>
              <w:top w:val="single" w:sz="4" w:space="0" w:color="000000"/>
              <w:left w:val="single" w:sz="4" w:space="0" w:color="000000"/>
              <w:bottom w:val="single" w:sz="4" w:space="0" w:color="000000"/>
              <w:right w:val="single" w:sz="4" w:space="0" w:color="000000"/>
            </w:tcBorders>
            <w:vAlign w:val="bottom"/>
          </w:tcPr>
          <w:p w14:paraId="30D94E4F"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8.118</w:t>
            </w:r>
          </w:p>
        </w:tc>
        <w:tc>
          <w:tcPr>
            <w:tcW w:w="1354" w:type="dxa"/>
            <w:tcBorders>
              <w:top w:val="single" w:sz="4" w:space="0" w:color="000000"/>
              <w:left w:val="single" w:sz="4" w:space="0" w:color="000000"/>
              <w:bottom w:val="single" w:sz="4" w:space="0" w:color="000000"/>
              <w:right w:val="single" w:sz="4" w:space="0" w:color="000000"/>
            </w:tcBorders>
            <w:vAlign w:val="bottom"/>
          </w:tcPr>
          <w:p w14:paraId="1B9E04AB" w14:textId="77777777" w:rsidR="009F762E" w:rsidRPr="00242DFB" w:rsidRDefault="00000000" w:rsidP="002A0E52">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8.609</w:t>
            </w:r>
          </w:p>
        </w:tc>
        <w:tc>
          <w:tcPr>
            <w:tcW w:w="1074" w:type="dxa"/>
            <w:tcBorders>
              <w:top w:val="single" w:sz="4" w:space="0" w:color="000000"/>
              <w:left w:val="single" w:sz="4" w:space="0" w:color="000000"/>
              <w:bottom w:val="single" w:sz="4" w:space="0" w:color="000000"/>
              <w:right w:val="single" w:sz="4" w:space="0" w:color="000000"/>
            </w:tcBorders>
            <w:vAlign w:val="bottom"/>
          </w:tcPr>
          <w:p w14:paraId="1825D10A" w14:textId="77777777" w:rsidR="009F762E" w:rsidRPr="00242DFB" w:rsidRDefault="00000000" w:rsidP="002A0E52">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0,8%</w:t>
            </w:r>
          </w:p>
        </w:tc>
      </w:tr>
      <w:tr w:rsidR="009F762E" w:rsidRPr="00242DFB" w14:paraId="4379B7A3" w14:textId="77777777" w:rsidTr="0014328E">
        <w:trPr>
          <w:cantSplit/>
          <w:trHeight w:val="56"/>
          <w:jc w:val="center"/>
        </w:trPr>
        <w:tc>
          <w:tcPr>
            <w:tcW w:w="3890" w:type="dxa"/>
            <w:gridSpan w:val="2"/>
            <w:tcBorders>
              <w:top w:val="single" w:sz="4" w:space="0" w:color="000000"/>
              <w:left w:val="single" w:sz="4" w:space="0" w:color="000000"/>
              <w:bottom w:val="single" w:sz="4" w:space="0" w:color="000000"/>
              <w:right w:val="single" w:sz="4" w:space="0" w:color="000000"/>
            </w:tcBorders>
            <w:vAlign w:val="bottom"/>
          </w:tcPr>
          <w:p w14:paraId="5EA9573A" w14:textId="77777777" w:rsidR="009F762E" w:rsidRPr="00242DFB" w:rsidRDefault="00000000" w:rsidP="002A0E52">
            <w:pPr>
              <w:spacing w:line="360" w:lineRule="auto"/>
              <w:jc w:val="center"/>
              <w:rPr>
                <w:rFonts w:ascii="Arial" w:eastAsia="Arial" w:hAnsi="Arial" w:cs="Arial"/>
                <w:b/>
                <w:bCs/>
                <w:color w:val="000000" w:themeColor="text1"/>
                <w:sz w:val="16"/>
                <w:szCs w:val="16"/>
              </w:rPr>
            </w:pPr>
            <w:r w:rsidRPr="00242DFB">
              <w:rPr>
                <w:rFonts w:ascii="Arial" w:eastAsia="Arial" w:hAnsi="Arial" w:cs="Arial"/>
                <w:b/>
                <w:bCs/>
                <w:color w:val="000000" w:themeColor="text1"/>
                <w:sz w:val="16"/>
                <w:szCs w:val="16"/>
              </w:rPr>
              <w:t>Total</w:t>
            </w:r>
          </w:p>
        </w:tc>
        <w:tc>
          <w:tcPr>
            <w:tcW w:w="1703" w:type="dxa"/>
            <w:tcBorders>
              <w:top w:val="single" w:sz="4" w:space="0" w:color="000000"/>
              <w:left w:val="single" w:sz="4" w:space="0" w:color="000000"/>
              <w:bottom w:val="single" w:sz="4" w:space="0" w:color="000000"/>
              <w:right w:val="single" w:sz="4" w:space="0" w:color="000000"/>
            </w:tcBorders>
            <w:vAlign w:val="bottom"/>
          </w:tcPr>
          <w:p w14:paraId="21842337" w14:textId="77777777" w:rsidR="009F762E" w:rsidRPr="00242DFB" w:rsidRDefault="00000000" w:rsidP="002A0E52">
            <w:pPr>
              <w:spacing w:line="360" w:lineRule="auto"/>
              <w:jc w:val="right"/>
              <w:rPr>
                <w:rFonts w:ascii="Arial" w:eastAsia="Arial" w:hAnsi="Arial" w:cs="Arial"/>
                <w:b/>
                <w:bCs/>
                <w:color w:val="000000" w:themeColor="text1"/>
                <w:sz w:val="16"/>
                <w:szCs w:val="16"/>
              </w:rPr>
            </w:pPr>
            <w:r w:rsidRPr="00242DFB">
              <w:rPr>
                <w:rFonts w:ascii="Arial" w:eastAsia="Arial" w:hAnsi="Arial" w:cs="Arial"/>
                <w:b/>
                <w:bCs/>
                <w:color w:val="000000" w:themeColor="text1"/>
                <w:sz w:val="16"/>
                <w:szCs w:val="16"/>
              </w:rPr>
              <w:t>86.063</w:t>
            </w:r>
          </w:p>
        </w:tc>
        <w:tc>
          <w:tcPr>
            <w:tcW w:w="1560" w:type="dxa"/>
            <w:tcBorders>
              <w:top w:val="single" w:sz="4" w:space="0" w:color="000000"/>
              <w:left w:val="single" w:sz="4" w:space="0" w:color="000000"/>
              <w:bottom w:val="single" w:sz="4" w:space="0" w:color="000000"/>
              <w:right w:val="single" w:sz="4" w:space="0" w:color="000000"/>
            </w:tcBorders>
            <w:vAlign w:val="bottom"/>
          </w:tcPr>
          <w:p w14:paraId="6547B1F8" w14:textId="77777777" w:rsidR="009F762E" w:rsidRPr="00242DFB" w:rsidRDefault="00000000" w:rsidP="002A0E52">
            <w:pPr>
              <w:spacing w:line="360" w:lineRule="auto"/>
              <w:jc w:val="right"/>
              <w:rPr>
                <w:rFonts w:ascii="Arial" w:eastAsia="Arial" w:hAnsi="Arial" w:cs="Arial"/>
                <w:b/>
                <w:bCs/>
                <w:color w:val="000000" w:themeColor="text1"/>
                <w:sz w:val="16"/>
                <w:szCs w:val="16"/>
              </w:rPr>
            </w:pPr>
            <w:r w:rsidRPr="00242DFB">
              <w:rPr>
                <w:rFonts w:ascii="Arial" w:eastAsia="Arial" w:hAnsi="Arial" w:cs="Arial"/>
                <w:b/>
                <w:bCs/>
                <w:color w:val="000000" w:themeColor="text1"/>
                <w:sz w:val="16"/>
                <w:szCs w:val="16"/>
              </w:rPr>
              <w:t>1.040.949</w:t>
            </w:r>
          </w:p>
        </w:tc>
        <w:tc>
          <w:tcPr>
            <w:tcW w:w="1354" w:type="dxa"/>
            <w:tcBorders>
              <w:top w:val="single" w:sz="4" w:space="0" w:color="000000"/>
              <w:left w:val="single" w:sz="4" w:space="0" w:color="000000"/>
              <w:bottom w:val="single" w:sz="4" w:space="0" w:color="000000"/>
              <w:right w:val="single" w:sz="4" w:space="0" w:color="000000"/>
            </w:tcBorders>
            <w:vAlign w:val="bottom"/>
          </w:tcPr>
          <w:p w14:paraId="0A8371C1" w14:textId="77777777" w:rsidR="009F762E" w:rsidRPr="00242DFB" w:rsidRDefault="00000000" w:rsidP="002A0E52">
            <w:pPr>
              <w:spacing w:line="360" w:lineRule="auto"/>
              <w:jc w:val="right"/>
              <w:rPr>
                <w:rFonts w:ascii="Arial" w:eastAsia="Arial" w:hAnsi="Arial" w:cs="Arial"/>
                <w:b/>
                <w:bCs/>
                <w:color w:val="000000" w:themeColor="text1"/>
                <w:sz w:val="16"/>
                <w:szCs w:val="16"/>
              </w:rPr>
            </w:pPr>
            <w:r w:rsidRPr="00242DFB">
              <w:rPr>
                <w:rFonts w:ascii="Arial" w:eastAsia="Arial" w:hAnsi="Arial" w:cs="Arial"/>
                <w:b/>
                <w:bCs/>
                <w:color w:val="000000" w:themeColor="text1"/>
                <w:sz w:val="16"/>
                <w:szCs w:val="16"/>
              </w:rPr>
              <w:t>1.127.012</w:t>
            </w:r>
          </w:p>
        </w:tc>
        <w:tc>
          <w:tcPr>
            <w:tcW w:w="1074" w:type="dxa"/>
            <w:tcBorders>
              <w:top w:val="single" w:sz="4" w:space="0" w:color="000000"/>
              <w:left w:val="single" w:sz="4" w:space="0" w:color="000000"/>
              <w:bottom w:val="single" w:sz="4" w:space="0" w:color="000000"/>
              <w:right w:val="single" w:sz="4" w:space="0" w:color="000000"/>
            </w:tcBorders>
            <w:vAlign w:val="bottom"/>
          </w:tcPr>
          <w:p w14:paraId="6FAFB9D9" w14:textId="77777777" w:rsidR="009F762E" w:rsidRPr="00242DFB" w:rsidRDefault="00000000" w:rsidP="002A0E52">
            <w:pPr>
              <w:spacing w:line="360" w:lineRule="auto"/>
              <w:jc w:val="right"/>
              <w:rPr>
                <w:rFonts w:ascii="Arial" w:eastAsia="Aptos Narrow" w:hAnsi="Arial" w:cs="Arial"/>
                <w:b/>
                <w:bCs/>
                <w:color w:val="000000" w:themeColor="text1"/>
                <w:sz w:val="16"/>
                <w:szCs w:val="16"/>
              </w:rPr>
            </w:pPr>
            <w:r w:rsidRPr="00242DFB">
              <w:rPr>
                <w:rFonts w:ascii="Arial" w:eastAsia="Aptos Narrow" w:hAnsi="Arial" w:cs="Arial"/>
                <w:b/>
                <w:bCs/>
                <w:color w:val="000000" w:themeColor="text1"/>
                <w:sz w:val="16"/>
                <w:szCs w:val="16"/>
              </w:rPr>
              <w:t>100,0%</w:t>
            </w:r>
          </w:p>
        </w:tc>
      </w:tr>
    </w:tbl>
    <w:p w14:paraId="2F86C128" w14:textId="77777777" w:rsidR="009F762E" w:rsidRPr="00242DFB" w:rsidRDefault="00000000" w:rsidP="002A0E52">
      <w:pPr>
        <w:spacing w:line="360" w:lineRule="auto"/>
        <w:jc w:val="both"/>
        <w:rPr>
          <w:rFonts w:ascii="Arial" w:hAnsi="Arial" w:cs="Arial"/>
          <w:color w:val="000000" w:themeColor="text1"/>
          <w:sz w:val="16"/>
          <w:szCs w:val="16"/>
        </w:rPr>
      </w:pPr>
      <w:r w:rsidRPr="00242DFB">
        <w:rPr>
          <w:rFonts w:ascii="Arial" w:eastAsia="Arial" w:hAnsi="Arial" w:cs="Arial"/>
          <w:color w:val="000000"/>
          <w:sz w:val="16"/>
          <w:szCs w:val="16"/>
        </w:rPr>
        <w:t xml:space="preserve">Fuente: </w:t>
      </w:r>
      <w:hyperlink r:id="rId18">
        <w:r w:rsidRPr="00242DFB">
          <w:rPr>
            <w:rStyle w:val="Hipervnculo"/>
            <w:rFonts w:ascii="Arial" w:eastAsia="Arial" w:hAnsi="Arial" w:cs="Arial"/>
            <w:color w:val="000000" w:themeColor="text1"/>
            <w:sz w:val="16"/>
            <w:szCs w:val="16"/>
          </w:rPr>
          <w:t>https://www.minsalud.gov.co/proteccionsocial/Paginas/cifras-aseguramiento-salud.aspx</w:t>
        </w:r>
      </w:hyperlink>
      <w:r w:rsidRPr="00242DFB">
        <w:rPr>
          <w:rFonts w:ascii="Arial" w:eastAsia="Arial" w:hAnsi="Arial" w:cs="Arial"/>
          <w:color w:val="000000"/>
          <w:sz w:val="16"/>
          <w:szCs w:val="16"/>
        </w:rPr>
        <w:t>. Estadísticas Ministerio de Salud a diciembre de 2025.</w:t>
      </w:r>
    </w:p>
    <w:p w14:paraId="7E2C4D15" w14:textId="77777777" w:rsidR="0014328E" w:rsidRPr="00242DFB" w:rsidRDefault="0014328E" w:rsidP="002A0E52">
      <w:pPr>
        <w:spacing w:line="360" w:lineRule="auto"/>
        <w:jc w:val="both"/>
        <w:rPr>
          <w:rFonts w:ascii="Arial" w:eastAsia="Arial" w:hAnsi="Arial" w:cs="Arial"/>
          <w:color w:val="000000"/>
        </w:rPr>
      </w:pPr>
    </w:p>
    <w:p w14:paraId="5FACE64F" w14:textId="3C21F7CD" w:rsidR="009F762E" w:rsidRPr="00242DFB" w:rsidRDefault="00000000" w:rsidP="002A0E52">
      <w:pPr>
        <w:spacing w:line="360" w:lineRule="auto"/>
        <w:jc w:val="both"/>
        <w:rPr>
          <w:rFonts w:ascii="Arial" w:eastAsia="Arial" w:hAnsi="Arial" w:cs="Arial"/>
          <w:color w:val="000000"/>
        </w:rPr>
      </w:pPr>
      <w:r w:rsidRPr="00242DFB">
        <w:rPr>
          <w:rFonts w:ascii="Arial" w:eastAsia="Arial" w:hAnsi="Arial" w:cs="Arial"/>
          <w:color w:val="000000"/>
        </w:rPr>
        <w:t>El Decreto 0182 de 2026 del Ministerio de Salud y Protección Social modifica disposiciones relacionadas con la operación del aseguramiento con enfoque territorial y poblacional, e introduce criterios asociados al tamaño poblacional y a la participación de las EPS en los territorios. En este contexto, la operación de Capital Salud EPS-S en Soacha y en los demás territorios debe ser objeto de análisis técnico y jurídico específico, considerando las reglas de transición, participación mínima, habilitación y aplicabilidad normativa vigente antes de sustentar decisiones de reorganización territorial.</w:t>
      </w:r>
    </w:p>
    <w:p w14:paraId="070C492F" w14:textId="6D98AF83" w:rsidR="009F762E" w:rsidRPr="00242DFB" w:rsidRDefault="009F762E" w:rsidP="002A0E52">
      <w:pPr>
        <w:spacing w:line="360" w:lineRule="auto"/>
        <w:jc w:val="center"/>
        <w:rPr>
          <w:rFonts w:ascii="Arial" w:eastAsia="Arial" w:hAnsi="Arial" w:cs="Arial"/>
          <w:color w:val="000000" w:themeColor="text1"/>
        </w:rPr>
      </w:pPr>
    </w:p>
    <w:p w14:paraId="57E3D202" w14:textId="71F15295" w:rsidR="00F62D73" w:rsidRPr="00242DFB" w:rsidRDefault="00F62D73" w:rsidP="00F942AE">
      <w:pPr>
        <w:pStyle w:val="Descripcin"/>
        <w:keepNext/>
        <w:jc w:val="center"/>
        <w:rPr>
          <w:rFonts w:ascii="Arial" w:hAnsi="Arial" w:cs="Arial"/>
          <w:color w:val="auto"/>
          <w:sz w:val="24"/>
          <w:szCs w:val="24"/>
        </w:rPr>
      </w:pPr>
      <w:r w:rsidRPr="00242DFB">
        <w:rPr>
          <w:rFonts w:ascii="Arial" w:hAnsi="Arial" w:cs="Arial"/>
          <w:color w:val="auto"/>
          <w:sz w:val="24"/>
          <w:szCs w:val="24"/>
        </w:rPr>
        <w:lastRenderedPageBreak/>
        <w:t xml:space="preserve">Tabla </w:t>
      </w:r>
      <w:r w:rsidRPr="00242DFB">
        <w:rPr>
          <w:rFonts w:ascii="Arial" w:hAnsi="Arial" w:cs="Arial"/>
          <w:color w:val="auto"/>
          <w:sz w:val="24"/>
          <w:szCs w:val="24"/>
        </w:rPr>
        <w:fldChar w:fldCharType="begin"/>
      </w:r>
      <w:r w:rsidRPr="00242DFB">
        <w:rPr>
          <w:rFonts w:ascii="Arial" w:hAnsi="Arial" w:cs="Arial"/>
          <w:color w:val="auto"/>
          <w:sz w:val="24"/>
          <w:szCs w:val="24"/>
        </w:rPr>
        <w:instrText xml:space="preserve"> SEQ Tabla \* ARABIC </w:instrText>
      </w:r>
      <w:r w:rsidRPr="00242DFB">
        <w:rPr>
          <w:rFonts w:ascii="Arial" w:hAnsi="Arial" w:cs="Arial"/>
          <w:color w:val="auto"/>
          <w:sz w:val="24"/>
          <w:szCs w:val="24"/>
        </w:rPr>
        <w:fldChar w:fldCharType="separate"/>
      </w:r>
      <w:r w:rsidR="00B1210D">
        <w:rPr>
          <w:rFonts w:ascii="Arial" w:hAnsi="Arial" w:cs="Arial"/>
          <w:noProof/>
          <w:color w:val="auto"/>
          <w:sz w:val="24"/>
          <w:szCs w:val="24"/>
        </w:rPr>
        <w:t>7</w:t>
      </w:r>
      <w:r w:rsidRPr="00242DFB">
        <w:rPr>
          <w:rFonts w:ascii="Arial" w:hAnsi="Arial" w:cs="Arial"/>
          <w:color w:val="auto"/>
          <w:sz w:val="24"/>
          <w:szCs w:val="24"/>
        </w:rPr>
        <w:fldChar w:fldCharType="end"/>
      </w:r>
      <w:r w:rsidRPr="00242DFB">
        <w:rPr>
          <w:rFonts w:ascii="Arial" w:hAnsi="Arial" w:cs="Arial"/>
          <w:color w:val="auto"/>
          <w:sz w:val="24"/>
          <w:szCs w:val="24"/>
        </w:rPr>
        <w:t>. Afiliados a Capital Salud EPS-S en Bogotá por cruce Sisbén, diciembre de 2025</w:t>
      </w:r>
    </w:p>
    <w:tbl>
      <w:tblPr>
        <w:tblW w:w="7077" w:type="dxa"/>
        <w:jc w:val="center"/>
        <w:tblLayout w:type="fixed"/>
        <w:tblCellMar>
          <w:left w:w="70" w:type="dxa"/>
          <w:right w:w="70" w:type="dxa"/>
        </w:tblCellMar>
        <w:tblLook w:val="04A0" w:firstRow="1" w:lastRow="0" w:firstColumn="1" w:lastColumn="0" w:noHBand="0" w:noVBand="1"/>
      </w:tblPr>
      <w:tblGrid>
        <w:gridCol w:w="5164"/>
        <w:gridCol w:w="1913"/>
      </w:tblGrid>
      <w:tr w:rsidR="004A3D85" w:rsidRPr="00242DFB" w14:paraId="6258C129" w14:textId="77777777" w:rsidTr="00F62D73">
        <w:trPr>
          <w:cantSplit/>
          <w:trHeight w:val="147"/>
          <w:jc w:val="center"/>
        </w:trPr>
        <w:tc>
          <w:tcPr>
            <w:tcW w:w="5164" w:type="dxa"/>
            <w:tcBorders>
              <w:top w:val="single" w:sz="4" w:space="0" w:color="000000"/>
              <w:left w:val="single" w:sz="4" w:space="0" w:color="000000"/>
              <w:bottom w:val="single" w:sz="4" w:space="0" w:color="000000"/>
              <w:right w:val="single" w:sz="4" w:space="0" w:color="000000"/>
            </w:tcBorders>
            <w:vAlign w:val="center"/>
          </w:tcPr>
          <w:p w14:paraId="7D603370" w14:textId="5E3A0893" w:rsidR="009F762E" w:rsidRPr="00242DFB" w:rsidRDefault="00000000" w:rsidP="002A0E52">
            <w:pPr>
              <w:spacing w:line="360" w:lineRule="auto"/>
              <w:jc w:val="center"/>
              <w:rPr>
                <w:rFonts w:ascii="Arial" w:eastAsia="Arial" w:hAnsi="Arial" w:cs="Arial"/>
                <w:b/>
                <w:bCs/>
              </w:rPr>
            </w:pPr>
            <w:r w:rsidRPr="00242DFB">
              <w:rPr>
                <w:rFonts w:ascii="Arial" w:eastAsia="Arial" w:hAnsi="Arial" w:cs="Arial"/>
                <w:b/>
                <w:bCs/>
              </w:rPr>
              <w:t xml:space="preserve">Cruce </w:t>
            </w:r>
            <w:r w:rsidR="00F62D73" w:rsidRPr="00242DFB">
              <w:rPr>
                <w:rFonts w:ascii="Arial" w:eastAsia="Arial" w:hAnsi="Arial" w:cs="Arial"/>
                <w:b/>
                <w:bCs/>
              </w:rPr>
              <w:t>Sisbén</w:t>
            </w:r>
          </w:p>
        </w:tc>
        <w:tc>
          <w:tcPr>
            <w:tcW w:w="1913" w:type="dxa"/>
            <w:tcBorders>
              <w:top w:val="single" w:sz="4" w:space="0" w:color="000000"/>
              <w:left w:val="single" w:sz="4" w:space="0" w:color="000000"/>
              <w:bottom w:val="single" w:sz="4" w:space="0" w:color="000000"/>
              <w:right w:val="single" w:sz="4" w:space="0" w:color="000000"/>
            </w:tcBorders>
            <w:vAlign w:val="center"/>
          </w:tcPr>
          <w:p w14:paraId="6EA245B2" w14:textId="77777777" w:rsidR="009F762E" w:rsidRPr="00242DFB" w:rsidRDefault="00000000" w:rsidP="002A0E52">
            <w:pPr>
              <w:spacing w:line="360" w:lineRule="auto"/>
              <w:jc w:val="center"/>
              <w:rPr>
                <w:rFonts w:ascii="Arial" w:eastAsia="Arial" w:hAnsi="Arial" w:cs="Arial"/>
                <w:b/>
                <w:bCs/>
              </w:rPr>
            </w:pPr>
            <w:r w:rsidRPr="00242DFB">
              <w:rPr>
                <w:rFonts w:ascii="Arial" w:eastAsia="Arial" w:hAnsi="Arial" w:cs="Arial"/>
                <w:b/>
                <w:bCs/>
              </w:rPr>
              <w:t>N° Afiliados</w:t>
            </w:r>
          </w:p>
        </w:tc>
      </w:tr>
      <w:tr w:rsidR="004A3D85" w:rsidRPr="00242DFB" w14:paraId="7B9C93BF" w14:textId="77777777" w:rsidTr="00F62D73">
        <w:trPr>
          <w:cantSplit/>
          <w:trHeight w:val="66"/>
          <w:jc w:val="center"/>
        </w:trPr>
        <w:tc>
          <w:tcPr>
            <w:tcW w:w="5164" w:type="dxa"/>
            <w:tcBorders>
              <w:top w:val="single" w:sz="4" w:space="0" w:color="000000"/>
              <w:left w:val="single" w:sz="4" w:space="0" w:color="000000"/>
              <w:bottom w:val="single" w:sz="4" w:space="0" w:color="000000"/>
              <w:right w:val="single" w:sz="4" w:space="0" w:color="000000"/>
            </w:tcBorders>
            <w:vAlign w:val="center"/>
          </w:tcPr>
          <w:p w14:paraId="01F739B5" w14:textId="77777777" w:rsidR="009F762E" w:rsidRPr="00242DFB" w:rsidRDefault="00000000" w:rsidP="002A0E52">
            <w:pPr>
              <w:spacing w:line="360" w:lineRule="auto"/>
              <w:rPr>
                <w:rFonts w:ascii="Arial" w:eastAsia="Arial" w:hAnsi="Arial" w:cs="Arial"/>
              </w:rPr>
            </w:pPr>
            <w:r w:rsidRPr="00242DFB">
              <w:rPr>
                <w:rFonts w:ascii="Arial" w:eastAsia="Arial" w:hAnsi="Arial" w:cs="Arial"/>
              </w:rPr>
              <w:t>Afiliación de oficio sin Sisbén IV</w:t>
            </w:r>
          </w:p>
        </w:tc>
        <w:tc>
          <w:tcPr>
            <w:tcW w:w="1913" w:type="dxa"/>
            <w:tcBorders>
              <w:top w:val="single" w:sz="4" w:space="0" w:color="000000"/>
              <w:left w:val="single" w:sz="4" w:space="0" w:color="000000"/>
              <w:bottom w:val="single" w:sz="4" w:space="0" w:color="000000"/>
              <w:right w:val="single" w:sz="4" w:space="0" w:color="000000"/>
            </w:tcBorders>
            <w:vAlign w:val="bottom"/>
          </w:tcPr>
          <w:p w14:paraId="046D993E" w14:textId="77777777" w:rsidR="009F762E" w:rsidRPr="00242DFB" w:rsidRDefault="00000000" w:rsidP="002A0E52">
            <w:pPr>
              <w:spacing w:line="360" w:lineRule="auto"/>
              <w:jc w:val="center"/>
              <w:rPr>
                <w:rFonts w:ascii="Arial" w:eastAsia="Arial" w:hAnsi="Arial" w:cs="Arial"/>
              </w:rPr>
            </w:pPr>
            <w:r w:rsidRPr="00242DFB">
              <w:rPr>
                <w:rFonts w:ascii="Arial" w:eastAsia="Arial" w:hAnsi="Arial" w:cs="Arial"/>
              </w:rPr>
              <w:t>18.546</w:t>
            </w:r>
          </w:p>
        </w:tc>
      </w:tr>
      <w:tr w:rsidR="004A3D85" w:rsidRPr="00242DFB" w14:paraId="0DB937BF" w14:textId="77777777" w:rsidTr="00F62D73">
        <w:trPr>
          <w:cantSplit/>
          <w:trHeight w:val="52"/>
          <w:jc w:val="center"/>
        </w:trPr>
        <w:tc>
          <w:tcPr>
            <w:tcW w:w="5164" w:type="dxa"/>
            <w:tcBorders>
              <w:top w:val="single" w:sz="4" w:space="0" w:color="000000"/>
              <w:left w:val="single" w:sz="4" w:space="0" w:color="000000"/>
              <w:bottom w:val="single" w:sz="4" w:space="0" w:color="000000"/>
              <w:right w:val="single" w:sz="4" w:space="0" w:color="000000"/>
            </w:tcBorders>
            <w:vAlign w:val="center"/>
          </w:tcPr>
          <w:p w14:paraId="40DD0E5F" w14:textId="77777777" w:rsidR="009F762E" w:rsidRPr="00242DFB" w:rsidRDefault="00000000" w:rsidP="002A0E52">
            <w:pPr>
              <w:spacing w:line="360" w:lineRule="auto"/>
              <w:rPr>
                <w:rFonts w:ascii="Arial" w:eastAsia="Arial" w:hAnsi="Arial" w:cs="Arial"/>
              </w:rPr>
            </w:pPr>
            <w:r w:rsidRPr="00242DFB">
              <w:rPr>
                <w:rFonts w:ascii="Arial" w:eastAsia="Arial" w:hAnsi="Arial" w:cs="Arial"/>
              </w:rPr>
              <w:t>Con Sisbén IV - Grupo D</w:t>
            </w:r>
          </w:p>
        </w:tc>
        <w:tc>
          <w:tcPr>
            <w:tcW w:w="1913" w:type="dxa"/>
            <w:tcBorders>
              <w:top w:val="single" w:sz="4" w:space="0" w:color="000000"/>
              <w:left w:val="single" w:sz="4" w:space="0" w:color="000000"/>
              <w:bottom w:val="single" w:sz="4" w:space="0" w:color="000000"/>
              <w:right w:val="single" w:sz="4" w:space="0" w:color="000000"/>
            </w:tcBorders>
            <w:vAlign w:val="bottom"/>
          </w:tcPr>
          <w:p w14:paraId="7B7D3723" w14:textId="77777777" w:rsidR="009F762E" w:rsidRPr="00242DFB" w:rsidRDefault="00000000" w:rsidP="002A0E52">
            <w:pPr>
              <w:spacing w:line="360" w:lineRule="auto"/>
              <w:jc w:val="center"/>
              <w:rPr>
                <w:rFonts w:ascii="Arial" w:eastAsia="Arial" w:hAnsi="Arial" w:cs="Arial"/>
              </w:rPr>
            </w:pPr>
            <w:r w:rsidRPr="00242DFB">
              <w:rPr>
                <w:rFonts w:ascii="Arial" w:eastAsia="Arial" w:hAnsi="Arial" w:cs="Arial"/>
              </w:rPr>
              <w:t>22.715</w:t>
            </w:r>
          </w:p>
        </w:tc>
      </w:tr>
      <w:tr w:rsidR="004A3D85" w:rsidRPr="00242DFB" w14:paraId="0DA3B318" w14:textId="77777777" w:rsidTr="00F62D73">
        <w:trPr>
          <w:cantSplit/>
          <w:trHeight w:val="52"/>
          <w:jc w:val="center"/>
        </w:trPr>
        <w:tc>
          <w:tcPr>
            <w:tcW w:w="5164" w:type="dxa"/>
            <w:tcBorders>
              <w:top w:val="single" w:sz="4" w:space="0" w:color="000000"/>
              <w:left w:val="single" w:sz="4" w:space="0" w:color="000000"/>
              <w:bottom w:val="single" w:sz="4" w:space="0" w:color="000000"/>
              <w:right w:val="single" w:sz="4" w:space="0" w:color="000000"/>
            </w:tcBorders>
            <w:vAlign w:val="center"/>
          </w:tcPr>
          <w:p w14:paraId="159C61F2" w14:textId="77777777" w:rsidR="009F762E" w:rsidRPr="00242DFB" w:rsidRDefault="00000000" w:rsidP="002A0E52">
            <w:pPr>
              <w:spacing w:line="360" w:lineRule="auto"/>
              <w:rPr>
                <w:rFonts w:ascii="Arial" w:eastAsia="Arial" w:hAnsi="Arial" w:cs="Arial"/>
              </w:rPr>
            </w:pPr>
            <w:r w:rsidRPr="00242DFB">
              <w:rPr>
                <w:rFonts w:ascii="Arial" w:eastAsia="Arial" w:hAnsi="Arial" w:cs="Arial"/>
              </w:rPr>
              <w:t>Con Sisbén IV - Nivel 1</w:t>
            </w:r>
          </w:p>
        </w:tc>
        <w:tc>
          <w:tcPr>
            <w:tcW w:w="1913" w:type="dxa"/>
            <w:tcBorders>
              <w:top w:val="single" w:sz="4" w:space="0" w:color="000000"/>
              <w:left w:val="single" w:sz="4" w:space="0" w:color="000000"/>
              <w:bottom w:val="single" w:sz="4" w:space="0" w:color="000000"/>
              <w:right w:val="single" w:sz="4" w:space="0" w:color="000000"/>
            </w:tcBorders>
            <w:vAlign w:val="bottom"/>
          </w:tcPr>
          <w:p w14:paraId="2B66464D" w14:textId="77777777" w:rsidR="009F762E" w:rsidRPr="00242DFB" w:rsidRDefault="00000000" w:rsidP="002A0E52">
            <w:pPr>
              <w:spacing w:line="360" w:lineRule="auto"/>
              <w:jc w:val="center"/>
              <w:rPr>
                <w:rFonts w:ascii="Arial" w:eastAsia="Arial" w:hAnsi="Arial" w:cs="Arial"/>
              </w:rPr>
            </w:pPr>
            <w:r w:rsidRPr="00242DFB">
              <w:rPr>
                <w:rFonts w:ascii="Arial" w:eastAsia="Arial" w:hAnsi="Arial" w:cs="Arial"/>
              </w:rPr>
              <w:t>286.785</w:t>
            </w:r>
          </w:p>
        </w:tc>
      </w:tr>
      <w:tr w:rsidR="004A3D85" w:rsidRPr="00242DFB" w14:paraId="7C826186" w14:textId="77777777" w:rsidTr="00F62D73">
        <w:trPr>
          <w:cantSplit/>
          <w:trHeight w:val="52"/>
          <w:jc w:val="center"/>
        </w:trPr>
        <w:tc>
          <w:tcPr>
            <w:tcW w:w="5164" w:type="dxa"/>
            <w:tcBorders>
              <w:top w:val="single" w:sz="4" w:space="0" w:color="000000"/>
              <w:left w:val="single" w:sz="4" w:space="0" w:color="000000"/>
              <w:bottom w:val="single" w:sz="4" w:space="0" w:color="000000"/>
              <w:right w:val="single" w:sz="4" w:space="0" w:color="000000"/>
            </w:tcBorders>
            <w:vAlign w:val="center"/>
          </w:tcPr>
          <w:p w14:paraId="5C1A5F42" w14:textId="77777777" w:rsidR="009F762E" w:rsidRPr="00242DFB" w:rsidRDefault="00000000" w:rsidP="002A0E52">
            <w:pPr>
              <w:spacing w:line="360" w:lineRule="auto"/>
              <w:rPr>
                <w:rFonts w:ascii="Arial" w:eastAsia="Arial" w:hAnsi="Arial" w:cs="Arial"/>
              </w:rPr>
            </w:pPr>
            <w:r w:rsidRPr="00242DFB">
              <w:rPr>
                <w:rFonts w:ascii="Arial" w:eastAsia="Arial" w:hAnsi="Arial" w:cs="Arial"/>
              </w:rPr>
              <w:t>Con Sisbén IV - Nivel 2</w:t>
            </w:r>
          </w:p>
        </w:tc>
        <w:tc>
          <w:tcPr>
            <w:tcW w:w="1913" w:type="dxa"/>
            <w:tcBorders>
              <w:top w:val="single" w:sz="4" w:space="0" w:color="000000"/>
              <w:left w:val="single" w:sz="4" w:space="0" w:color="000000"/>
              <w:bottom w:val="single" w:sz="4" w:space="0" w:color="000000"/>
              <w:right w:val="single" w:sz="4" w:space="0" w:color="000000"/>
            </w:tcBorders>
            <w:vAlign w:val="bottom"/>
          </w:tcPr>
          <w:p w14:paraId="7AC54203" w14:textId="77777777" w:rsidR="009F762E" w:rsidRPr="00242DFB" w:rsidRDefault="00000000" w:rsidP="002A0E52">
            <w:pPr>
              <w:spacing w:line="360" w:lineRule="auto"/>
              <w:jc w:val="center"/>
              <w:rPr>
                <w:rFonts w:ascii="Arial" w:eastAsia="Arial" w:hAnsi="Arial" w:cs="Arial"/>
              </w:rPr>
            </w:pPr>
            <w:r w:rsidRPr="00242DFB">
              <w:rPr>
                <w:rFonts w:ascii="Arial" w:eastAsia="Arial" w:hAnsi="Arial" w:cs="Arial"/>
              </w:rPr>
              <w:t>240.679</w:t>
            </w:r>
          </w:p>
        </w:tc>
      </w:tr>
      <w:tr w:rsidR="004A3D85" w:rsidRPr="00242DFB" w14:paraId="19AF79E3" w14:textId="77777777" w:rsidTr="00F62D73">
        <w:trPr>
          <w:cantSplit/>
          <w:trHeight w:val="93"/>
          <w:jc w:val="center"/>
        </w:trPr>
        <w:tc>
          <w:tcPr>
            <w:tcW w:w="5164" w:type="dxa"/>
            <w:tcBorders>
              <w:top w:val="single" w:sz="4" w:space="0" w:color="000000"/>
              <w:left w:val="single" w:sz="4" w:space="0" w:color="000000"/>
              <w:bottom w:val="single" w:sz="4" w:space="0" w:color="000000"/>
              <w:right w:val="single" w:sz="4" w:space="0" w:color="000000"/>
            </w:tcBorders>
            <w:vAlign w:val="center"/>
          </w:tcPr>
          <w:p w14:paraId="30E45C60" w14:textId="77777777" w:rsidR="009F762E" w:rsidRPr="00242DFB" w:rsidRDefault="00000000" w:rsidP="002A0E52">
            <w:pPr>
              <w:spacing w:line="360" w:lineRule="auto"/>
              <w:rPr>
                <w:rFonts w:ascii="Arial" w:eastAsia="Arial" w:hAnsi="Arial" w:cs="Arial"/>
              </w:rPr>
            </w:pPr>
            <w:r w:rsidRPr="00242DFB">
              <w:rPr>
                <w:rFonts w:ascii="Arial" w:eastAsia="Arial" w:hAnsi="Arial" w:cs="Arial"/>
              </w:rPr>
              <w:t>Con Sisbén IV de Fuera de Bogotá</w:t>
            </w:r>
          </w:p>
        </w:tc>
        <w:tc>
          <w:tcPr>
            <w:tcW w:w="1913" w:type="dxa"/>
            <w:tcBorders>
              <w:top w:val="single" w:sz="4" w:space="0" w:color="000000"/>
              <w:left w:val="single" w:sz="4" w:space="0" w:color="000000"/>
              <w:bottom w:val="single" w:sz="4" w:space="0" w:color="000000"/>
              <w:right w:val="single" w:sz="4" w:space="0" w:color="000000"/>
            </w:tcBorders>
            <w:vAlign w:val="bottom"/>
          </w:tcPr>
          <w:p w14:paraId="43B88ABE" w14:textId="77777777" w:rsidR="009F762E" w:rsidRPr="00242DFB" w:rsidRDefault="00000000" w:rsidP="002A0E52">
            <w:pPr>
              <w:spacing w:line="360" w:lineRule="auto"/>
              <w:jc w:val="center"/>
              <w:rPr>
                <w:rFonts w:ascii="Arial" w:eastAsia="Arial" w:hAnsi="Arial" w:cs="Arial"/>
              </w:rPr>
            </w:pPr>
            <w:r w:rsidRPr="00242DFB">
              <w:rPr>
                <w:rFonts w:ascii="Arial" w:eastAsia="Arial" w:hAnsi="Arial" w:cs="Arial"/>
              </w:rPr>
              <w:t>25.762</w:t>
            </w:r>
          </w:p>
        </w:tc>
      </w:tr>
      <w:tr w:rsidR="004A3D85" w:rsidRPr="00242DFB" w14:paraId="75072980" w14:textId="77777777" w:rsidTr="00F62D73">
        <w:trPr>
          <w:cantSplit/>
          <w:trHeight w:val="270"/>
          <w:jc w:val="center"/>
        </w:trPr>
        <w:tc>
          <w:tcPr>
            <w:tcW w:w="5164" w:type="dxa"/>
            <w:tcBorders>
              <w:top w:val="single" w:sz="4" w:space="0" w:color="000000"/>
              <w:left w:val="single" w:sz="4" w:space="0" w:color="000000"/>
              <w:bottom w:val="single" w:sz="4" w:space="0" w:color="000000"/>
              <w:right w:val="single" w:sz="4" w:space="0" w:color="000000"/>
            </w:tcBorders>
            <w:vAlign w:val="center"/>
          </w:tcPr>
          <w:p w14:paraId="7BE3AB4A" w14:textId="77777777" w:rsidR="009F762E" w:rsidRPr="00242DFB" w:rsidRDefault="00000000" w:rsidP="002A0E52">
            <w:pPr>
              <w:spacing w:line="360" w:lineRule="auto"/>
              <w:rPr>
                <w:rFonts w:ascii="Arial" w:eastAsia="Arial" w:hAnsi="Arial" w:cs="Arial"/>
              </w:rPr>
            </w:pPr>
            <w:r w:rsidRPr="00242DFB">
              <w:rPr>
                <w:rFonts w:ascii="Arial" w:eastAsia="Arial" w:hAnsi="Arial" w:cs="Arial"/>
              </w:rPr>
              <w:t>Población especial que no requiere Sisbén</w:t>
            </w:r>
          </w:p>
        </w:tc>
        <w:tc>
          <w:tcPr>
            <w:tcW w:w="1913" w:type="dxa"/>
            <w:tcBorders>
              <w:top w:val="single" w:sz="4" w:space="0" w:color="000000"/>
              <w:left w:val="single" w:sz="4" w:space="0" w:color="000000"/>
              <w:bottom w:val="single" w:sz="4" w:space="0" w:color="000000"/>
              <w:right w:val="single" w:sz="4" w:space="0" w:color="000000"/>
            </w:tcBorders>
            <w:vAlign w:val="center"/>
          </w:tcPr>
          <w:p w14:paraId="682F2E11" w14:textId="77777777" w:rsidR="009F762E" w:rsidRPr="00242DFB" w:rsidRDefault="00000000" w:rsidP="002A0E52">
            <w:pPr>
              <w:spacing w:line="360" w:lineRule="auto"/>
              <w:jc w:val="center"/>
              <w:rPr>
                <w:rFonts w:ascii="Arial" w:eastAsia="Arial" w:hAnsi="Arial" w:cs="Arial"/>
              </w:rPr>
            </w:pPr>
            <w:r w:rsidRPr="00242DFB">
              <w:rPr>
                <w:rFonts w:ascii="Arial" w:eastAsia="Arial" w:hAnsi="Arial" w:cs="Arial"/>
              </w:rPr>
              <w:t>98.098</w:t>
            </w:r>
          </w:p>
        </w:tc>
      </w:tr>
      <w:tr w:rsidR="004A3D85" w:rsidRPr="00242DFB" w14:paraId="462E0BEB" w14:textId="77777777" w:rsidTr="00F62D73">
        <w:trPr>
          <w:cantSplit/>
          <w:trHeight w:val="89"/>
          <w:jc w:val="center"/>
        </w:trPr>
        <w:tc>
          <w:tcPr>
            <w:tcW w:w="5164" w:type="dxa"/>
            <w:tcBorders>
              <w:top w:val="single" w:sz="4" w:space="0" w:color="000000"/>
              <w:left w:val="single" w:sz="4" w:space="0" w:color="000000"/>
              <w:bottom w:val="single" w:sz="4" w:space="0" w:color="000000"/>
              <w:right w:val="single" w:sz="4" w:space="0" w:color="000000"/>
            </w:tcBorders>
            <w:vAlign w:val="center"/>
          </w:tcPr>
          <w:p w14:paraId="2ECFFFD9" w14:textId="77777777" w:rsidR="009F762E" w:rsidRPr="00242DFB" w:rsidRDefault="00000000" w:rsidP="002A0E52">
            <w:pPr>
              <w:spacing w:line="360" w:lineRule="auto"/>
              <w:rPr>
                <w:rFonts w:ascii="Arial" w:eastAsia="Arial" w:hAnsi="Arial" w:cs="Arial"/>
              </w:rPr>
            </w:pPr>
            <w:r w:rsidRPr="00242DFB">
              <w:rPr>
                <w:rFonts w:ascii="Arial" w:eastAsia="Arial" w:hAnsi="Arial" w:cs="Arial"/>
              </w:rPr>
              <w:t>Sin Sisbén IV - Adultos *</w:t>
            </w:r>
          </w:p>
        </w:tc>
        <w:tc>
          <w:tcPr>
            <w:tcW w:w="1913" w:type="dxa"/>
            <w:tcBorders>
              <w:top w:val="single" w:sz="4" w:space="0" w:color="000000"/>
              <w:left w:val="single" w:sz="4" w:space="0" w:color="000000"/>
              <w:bottom w:val="single" w:sz="4" w:space="0" w:color="000000"/>
              <w:right w:val="single" w:sz="4" w:space="0" w:color="000000"/>
            </w:tcBorders>
            <w:vAlign w:val="center"/>
          </w:tcPr>
          <w:p w14:paraId="7C96F47B" w14:textId="77777777" w:rsidR="009F762E" w:rsidRPr="00242DFB" w:rsidRDefault="00000000" w:rsidP="002A0E52">
            <w:pPr>
              <w:spacing w:line="360" w:lineRule="auto"/>
              <w:jc w:val="center"/>
              <w:rPr>
                <w:rFonts w:ascii="Arial" w:eastAsia="Arial" w:hAnsi="Arial" w:cs="Arial"/>
              </w:rPr>
            </w:pPr>
            <w:r w:rsidRPr="00242DFB">
              <w:rPr>
                <w:rFonts w:ascii="Arial" w:eastAsia="Arial" w:hAnsi="Arial" w:cs="Arial"/>
              </w:rPr>
              <w:t>46.304</w:t>
            </w:r>
          </w:p>
        </w:tc>
      </w:tr>
      <w:tr w:rsidR="004A3D85" w:rsidRPr="00242DFB" w14:paraId="12C1A31C" w14:textId="77777777" w:rsidTr="00F62D73">
        <w:trPr>
          <w:cantSplit/>
          <w:trHeight w:val="52"/>
          <w:jc w:val="center"/>
        </w:trPr>
        <w:tc>
          <w:tcPr>
            <w:tcW w:w="5164" w:type="dxa"/>
            <w:tcBorders>
              <w:top w:val="single" w:sz="4" w:space="0" w:color="000000"/>
              <w:left w:val="single" w:sz="4" w:space="0" w:color="000000"/>
              <w:bottom w:val="single" w:sz="4" w:space="0" w:color="000000"/>
              <w:right w:val="single" w:sz="4" w:space="0" w:color="000000"/>
            </w:tcBorders>
            <w:vAlign w:val="center"/>
          </w:tcPr>
          <w:p w14:paraId="6F8C0C50" w14:textId="77777777" w:rsidR="009F762E" w:rsidRPr="00242DFB" w:rsidRDefault="00000000" w:rsidP="002A0E52">
            <w:pPr>
              <w:spacing w:line="360" w:lineRule="auto"/>
              <w:rPr>
                <w:rFonts w:ascii="Arial" w:eastAsia="Arial" w:hAnsi="Arial" w:cs="Arial"/>
              </w:rPr>
            </w:pPr>
            <w:r w:rsidRPr="00242DFB">
              <w:rPr>
                <w:rFonts w:ascii="Arial" w:eastAsia="Arial" w:hAnsi="Arial" w:cs="Arial"/>
              </w:rPr>
              <w:t>Sin Sisbén IV - Menores de edad</w:t>
            </w:r>
          </w:p>
        </w:tc>
        <w:tc>
          <w:tcPr>
            <w:tcW w:w="1913" w:type="dxa"/>
            <w:tcBorders>
              <w:top w:val="single" w:sz="4" w:space="0" w:color="000000"/>
              <w:left w:val="single" w:sz="4" w:space="0" w:color="000000"/>
              <w:bottom w:val="single" w:sz="4" w:space="0" w:color="000000"/>
              <w:right w:val="single" w:sz="4" w:space="0" w:color="000000"/>
            </w:tcBorders>
            <w:vAlign w:val="center"/>
          </w:tcPr>
          <w:p w14:paraId="6AC14003" w14:textId="77777777" w:rsidR="009F762E" w:rsidRPr="00242DFB" w:rsidRDefault="00000000" w:rsidP="002A0E52">
            <w:pPr>
              <w:spacing w:line="360" w:lineRule="auto"/>
              <w:jc w:val="center"/>
              <w:rPr>
                <w:rFonts w:ascii="Arial" w:eastAsia="Arial" w:hAnsi="Arial" w:cs="Arial"/>
              </w:rPr>
            </w:pPr>
            <w:r w:rsidRPr="00242DFB">
              <w:rPr>
                <w:rFonts w:ascii="Arial" w:eastAsia="Arial" w:hAnsi="Arial" w:cs="Arial"/>
              </w:rPr>
              <w:t>81.460</w:t>
            </w:r>
          </w:p>
        </w:tc>
      </w:tr>
      <w:tr w:rsidR="004A3D85" w:rsidRPr="00242DFB" w14:paraId="0A75A845" w14:textId="77777777" w:rsidTr="00F62D73">
        <w:trPr>
          <w:cantSplit/>
          <w:trHeight w:val="225"/>
          <w:jc w:val="center"/>
        </w:trPr>
        <w:tc>
          <w:tcPr>
            <w:tcW w:w="5164" w:type="dxa"/>
            <w:tcBorders>
              <w:top w:val="single" w:sz="4" w:space="0" w:color="000000"/>
              <w:left w:val="single" w:sz="4" w:space="0" w:color="000000"/>
              <w:bottom w:val="single" w:sz="4" w:space="0" w:color="000000"/>
              <w:right w:val="single" w:sz="4" w:space="0" w:color="000000"/>
            </w:tcBorders>
            <w:vAlign w:val="bottom"/>
          </w:tcPr>
          <w:p w14:paraId="299B31DB" w14:textId="4DBF2AD3" w:rsidR="009F762E" w:rsidRPr="00242DFB" w:rsidRDefault="00F62D73" w:rsidP="002A0E52">
            <w:pPr>
              <w:spacing w:line="360" w:lineRule="auto"/>
              <w:rPr>
                <w:rFonts w:ascii="Arial" w:eastAsia="Arial" w:hAnsi="Arial" w:cs="Arial"/>
                <w:b/>
                <w:bCs/>
              </w:rPr>
            </w:pPr>
            <w:r w:rsidRPr="00242DFB">
              <w:rPr>
                <w:rFonts w:ascii="Arial" w:eastAsia="Arial" w:hAnsi="Arial" w:cs="Arial"/>
                <w:b/>
                <w:bCs/>
              </w:rPr>
              <w:t>Total,</w:t>
            </w:r>
            <w:r w:rsidR="00000000" w:rsidRPr="00242DFB">
              <w:rPr>
                <w:rFonts w:ascii="Arial" w:eastAsia="Arial" w:hAnsi="Arial" w:cs="Arial"/>
                <w:b/>
                <w:bCs/>
              </w:rPr>
              <w:t xml:space="preserve"> general</w:t>
            </w:r>
          </w:p>
        </w:tc>
        <w:tc>
          <w:tcPr>
            <w:tcW w:w="1913" w:type="dxa"/>
            <w:tcBorders>
              <w:top w:val="single" w:sz="4" w:space="0" w:color="000000"/>
              <w:left w:val="single" w:sz="4" w:space="0" w:color="000000"/>
              <w:bottom w:val="single" w:sz="4" w:space="0" w:color="000000"/>
              <w:right w:val="single" w:sz="4" w:space="0" w:color="000000"/>
            </w:tcBorders>
            <w:vAlign w:val="bottom"/>
          </w:tcPr>
          <w:p w14:paraId="41D45961" w14:textId="77777777" w:rsidR="009F762E" w:rsidRPr="00242DFB" w:rsidRDefault="00000000" w:rsidP="002A0E52">
            <w:pPr>
              <w:spacing w:line="360" w:lineRule="auto"/>
              <w:jc w:val="center"/>
              <w:rPr>
                <w:rFonts w:ascii="Arial" w:eastAsia="Arial" w:hAnsi="Arial" w:cs="Arial"/>
                <w:b/>
                <w:bCs/>
              </w:rPr>
            </w:pPr>
            <w:r w:rsidRPr="00242DFB">
              <w:rPr>
                <w:rFonts w:ascii="Arial" w:eastAsia="Arial" w:hAnsi="Arial" w:cs="Arial"/>
                <w:b/>
                <w:bCs/>
              </w:rPr>
              <w:t>820.349</w:t>
            </w:r>
          </w:p>
        </w:tc>
      </w:tr>
    </w:tbl>
    <w:p w14:paraId="4C0B91A6" w14:textId="302B4AD7" w:rsidR="009F762E" w:rsidRPr="00242DFB" w:rsidRDefault="00F942AE" w:rsidP="00F62D73">
      <w:pPr>
        <w:spacing w:line="360" w:lineRule="auto"/>
        <w:jc w:val="both"/>
        <w:rPr>
          <w:rFonts w:ascii="Arial" w:eastAsia="Arial" w:hAnsi="Arial" w:cs="Arial"/>
          <w:color w:val="000000" w:themeColor="text1"/>
          <w:sz w:val="16"/>
          <w:szCs w:val="16"/>
        </w:rPr>
      </w:pPr>
      <w:r w:rsidRPr="00242DFB">
        <w:rPr>
          <w:rFonts w:ascii="Arial" w:eastAsia="Arial" w:hAnsi="Arial" w:cs="Arial"/>
          <w:color w:val="000000"/>
          <w:sz w:val="16"/>
          <w:szCs w:val="16"/>
        </w:rPr>
        <w:t>Fuente: *</w:t>
      </w:r>
      <w:r w:rsidR="00000000" w:rsidRPr="00242DFB">
        <w:rPr>
          <w:rFonts w:ascii="Arial" w:eastAsia="Arial" w:hAnsi="Arial" w:cs="Arial"/>
          <w:color w:val="000000"/>
          <w:sz w:val="16"/>
          <w:szCs w:val="16"/>
        </w:rPr>
        <w:t xml:space="preserve"> Contributivo BDUA - ADRES, corte a 31 de </w:t>
      </w:r>
      <w:r w:rsidRPr="00242DFB">
        <w:rPr>
          <w:rFonts w:ascii="Arial" w:eastAsia="Arial" w:hAnsi="Arial" w:cs="Arial"/>
          <w:color w:val="000000"/>
          <w:sz w:val="16"/>
          <w:szCs w:val="16"/>
        </w:rPr>
        <w:t>diciembre</w:t>
      </w:r>
      <w:r w:rsidR="00000000" w:rsidRPr="00242DFB">
        <w:rPr>
          <w:rFonts w:ascii="Arial" w:eastAsia="Arial" w:hAnsi="Arial" w:cs="Arial"/>
          <w:color w:val="000000"/>
          <w:sz w:val="16"/>
          <w:szCs w:val="16"/>
        </w:rPr>
        <w:t xml:space="preserve"> de 2025.</w:t>
      </w:r>
      <w:r w:rsidRPr="00242DFB">
        <w:rPr>
          <w:rFonts w:ascii="Arial" w:eastAsia="Arial" w:hAnsi="Arial" w:cs="Arial"/>
          <w:color w:val="000000"/>
          <w:sz w:val="16"/>
          <w:szCs w:val="16"/>
        </w:rPr>
        <w:t xml:space="preserve"> </w:t>
      </w:r>
      <w:r w:rsidR="00000000" w:rsidRPr="00242DFB">
        <w:rPr>
          <w:rFonts w:ascii="Arial" w:eastAsia="Arial" w:hAnsi="Arial" w:cs="Arial"/>
          <w:color w:val="000000"/>
          <w:sz w:val="16"/>
          <w:szCs w:val="16"/>
        </w:rPr>
        <w:t xml:space="preserve">* Subsidiado BDUA - ADRES, corte a 31 de </w:t>
      </w:r>
      <w:r w:rsidR="00F62D73" w:rsidRPr="00242DFB">
        <w:rPr>
          <w:rFonts w:ascii="Arial" w:eastAsia="Arial" w:hAnsi="Arial" w:cs="Arial"/>
          <w:color w:val="000000"/>
          <w:sz w:val="16"/>
          <w:szCs w:val="16"/>
        </w:rPr>
        <w:t>diciembre</w:t>
      </w:r>
      <w:r w:rsidR="00000000" w:rsidRPr="00242DFB">
        <w:rPr>
          <w:rFonts w:ascii="Arial" w:eastAsia="Arial" w:hAnsi="Arial" w:cs="Arial"/>
          <w:color w:val="000000"/>
          <w:sz w:val="16"/>
          <w:szCs w:val="16"/>
        </w:rPr>
        <w:t xml:space="preserve"> de 2025.</w:t>
      </w:r>
    </w:p>
    <w:p w14:paraId="72DF5934" w14:textId="77777777" w:rsidR="009F762E" w:rsidRPr="00242DFB" w:rsidRDefault="009F762E" w:rsidP="002A0E52">
      <w:pPr>
        <w:spacing w:line="360" w:lineRule="auto"/>
        <w:rPr>
          <w:rFonts w:ascii="Arial" w:hAnsi="Arial" w:cs="Arial"/>
          <w:color w:val="000000" w:themeColor="text1"/>
        </w:rPr>
      </w:pPr>
    </w:p>
    <w:p w14:paraId="7454A1C3" w14:textId="01492AC3" w:rsidR="004A3D85" w:rsidRPr="00242DFB" w:rsidRDefault="004A3D85" w:rsidP="004A3D85">
      <w:pPr>
        <w:spacing w:line="360" w:lineRule="auto"/>
        <w:jc w:val="both"/>
        <w:rPr>
          <w:rFonts w:ascii="Arial" w:hAnsi="Arial" w:cs="Arial"/>
          <w:color w:val="000000" w:themeColor="text1"/>
        </w:rPr>
      </w:pPr>
      <w:r w:rsidRPr="00242DFB">
        <w:rPr>
          <w:rFonts w:ascii="Arial" w:hAnsi="Arial" w:cs="Arial"/>
          <w:color w:val="000000" w:themeColor="text1"/>
        </w:rPr>
        <w:t xml:space="preserve">En síntesis, </w:t>
      </w:r>
      <w:r w:rsidRPr="004A3D85">
        <w:rPr>
          <w:rFonts w:ascii="Arial" w:hAnsi="Arial" w:cs="Arial"/>
          <w:color w:val="000000" w:themeColor="text1"/>
        </w:rPr>
        <w:t>Capital Salud EPS-S es el quinto actor del aseguramiento en salud en Bogotá por volumen de afiliados, con una participación relevante dentro del total de la población asegurada en el Distrito Capital. Su importancia no se limita al número de usuarios afiliados, sino que adquiere una dimensión estratégica por la alta concentración de población del régimen subsidiado, la cual corresponde principalmente a grupos con mayores condiciones de vulnerabilidad social, económica y sanitaria.</w:t>
      </w:r>
    </w:p>
    <w:p w14:paraId="0BC78E05" w14:textId="77777777" w:rsidR="004A3D85" w:rsidRPr="004A3D85" w:rsidRDefault="004A3D85" w:rsidP="004A3D85">
      <w:pPr>
        <w:spacing w:line="360" w:lineRule="auto"/>
        <w:jc w:val="both"/>
        <w:rPr>
          <w:rFonts w:ascii="Arial" w:hAnsi="Arial" w:cs="Arial"/>
          <w:color w:val="000000" w:themeColor="text1"/>
        </w:rPr>
      </w:pPr>
    </w:p>
    <w:p w14:paraId="6DCEB12C" w14:textId="77777777" w:rsidR="004A3D85" w:rsidRPr="00242DFB" w:rsidRDefault="004A3D85" w:rsidP="004A3D85">
      <w:pPr>
        <w:spacing w:line="360" w:lineRule="auto"/>
        <w:jc w:val="both"/>
        <w:rPr>
          <w:rFonts w:ascii="Arial" w:hAnsi="Arial" w:cs="Arial"/>
          <w:color w:val="000000" w:themeColor="text1"/>
        </w:rPr>
      </w:pPr>
      <w:r w:rsidRPr="004A3D85">
        <w:rPr>
          <w:rFonts w:ascii="Arial" w:hAnsi="Arial" w:cs="Arial"/>
          <w:color w:val="000000" w:themeColor="text1"/>
        </w:rPr>
        <w:t>En este sentido, Capital Salud EPS-S constituye un actor clave para la garantía del derecho fundamental a la salud en Bogotá, dado que su desempeño incide directamente en el acceso, la oportunidad, la continuidad y la resolutividad de los servicios para una proporción significativa de la población más vulnerable de la ciudad. Por esta razón, los resultados de su gestión tienen impacto directo sobre indicadores sensibles del sistema distrital de salud, tales como la oportunidad en citas, la entrega de medicamentos, la gestión de PQRS, la referencia y contrarreferencia, la atención materno-perinatal, las coberturas de vacunación y la gestión integral del riesgo en salud.</w:t>
      </w:r>
    </w:p>
    <w:p w14:paraId="75408084" w14:textId="77777777" w:rsidR="004A3D85" w:rsidRPr="004A3D85" w:rsidRDefault="004A3D85" w:rsidP="004A3D85">
      <w:pPr>
        <w:spacing w:line="360" w:lineRule="auto"/>
        <w:jc w:val="both"/>
        <w:rPr>
          <w:rFonts w:ascii="Arial" w:hAnsi="Arial" w:cs="Arial"/>
          <w:color w:val="000000" w:themeColor="text1"/>
        </w:rPr>
      </w:pPr>
    </w:p>
    <w:p w14:paraId="2D6FD527" w14:textId="77777777" w:rsidR="004A3D85" w:rsidRPr="004A3D85" w:rsidRDefault="004A3D85" w:rsidP="00250C25">
      <w:pPr>
        <w:spacing w:line="360" w:lineRule="auto"/>
        <w:jc w:val="both"/>
        <w:rPr>
          <w:rFonts w:ascii="Arial" w:hAnsi="Arial" w:cs="Arial"/>
          <w:color w:val="000000" w:themeColor="text1"/>
        </w:rPr>
      </w:pPr>
      <w:r w:rsidRPr="004A3D85">
        <w:rPr>
          <w:rFonts w:ascii="Arial" w:hAnsi="Arial" w:cs="Arial"/>
          <w:color w:val="000000" w:themeColor="text1"/>
        </w:rPr>
        <w:t>Adicionalmente, Capital Salud EPS-S representa un instrumento relevante de política pública para la implementación del Modelo de Salud MAS Bienestar, en la medida en que su operación se articula con las prioridades distritales de atención primaria, gestión territorial del riesgo, fortalecimiento de redes integradas, seguimiento a poblaciones priorizadas y reducción de barreras de acceso. En consecuencia, el comportamiento operativo, asistencial y financiero de la EPS no solo debe analizarse desde la perspectiva del aseguramiento, sino también como un factor determinante para la sostenibilidad, gobernanza y efectividad del modelo de salud de Bogotá.</w:t>
      </w:r>
    </w:p>
    <w:p w14:paraId="1F28D531" w14:textId="77777777" w:rsidR="004A3D85" w:rsidRPr="00242DFB" w:rsidRDefault="004A3D85" w:rsidP="00250C25">
      <w:pPr>
        <w:spacing w:line="360" w:lineRule="auto"/>
        <w:rPr>
          <w:rFonts w:ascii="Arial" w:hAnsi="Arial" w:cs="Arial"/>
          <w:color w:val="000000" w:themeColor="text1"/>
        </w:rPr>
      </w:pPr>
    </w:p>
    <w:p w14:paraId="772BE1AE" w14:textId="77777777" w:rsidR="009F762E" w:rsidRPr="00242DFB" w:rsidRDefault="00000000" w:rsidP="00250C25">
      <w:pPr>
        <w:pStyle w:val="Ttulo1"/>
        <w:numPr>
          <w:ilvl w:val="0"/>
          <w:numId w:val="7"/>
        </w:numPr>
        <w:spacing w:before="0" w:line="360" w:lineRule="auto"/>
        <w:jc w:val="both"/>
        <w:rPr>
          <w:rFonts w:ascii="Arial" w:eastAsia="Arial" w:hAnsi="Arial" w:cs="Arial"/>
          <w:b/>
          <w:bCs/>
          <w:color w:val="000000"/>
          <w:sz w:val="24"/>
          <w:szCs w:val="24"/>
        </w:rPr>
      </w:pPr>
      <w:bookmarkStart w:id="9" w:name="__RefHeading___Toc8574_542869190"/>
      <w:bookmarkStart w:id="10" w:name="_Toc230853762"/>
      <w:bookmarkEnd w:id="9"/>
      <w:r w:rsidRPr="00242DFB">
        <w:rPr>
          <w:rFonts w:ascii="Arial" w:eastAsia="Arial" w:hAnsi="Arial" w:cs="Arial"/>
          <w:b/>
          <w:bCs/>
          <w:color w:val="000000"/>
          <w:sz w:val="24"/>
          <w:szCs w:val="24"/>
        </w:rPr>
        <w:t>OBJETIVOS</w:t>
      </w:r>
      <w:bookmarkEnd w:id="10"/>
    </w:p>
    <w:p w14:paraId="25B007E1" w14:textId="77777777" w:rsidR="00F942AE" w:rsidRPr="00242DFB" w:rsidRDefault="00F942AE" w:rsidP="00250C25">
      <w:pPr>
        <w:spacing w:line="360" w:lineRule="auto"/>
        <w:rPr>
          <w:rFonts w:ascii="Arial" w:eastAsia="Arial" w:hAnsi="Arial" w:cs="Arial"/>
        </w:rPr>
      </w:pPr>
    </w:p>
    <w:p w14:paraId="697DCC24" w14:textId="1C331355" w:rsidR="009F762E" w:rsidRPr="00242DFB" w:rsidRDefault="00250C25" w:rsidP="00250C25">
      <w:pPr>
        <w:pStyle w:val="Ttulo2"/>
        <w:numPr>
          <w:ilvl w:val="1"/>
          <w:numId w:val="7"/>
        </w:numPr>
        <w:spacing w:before="0" w:line="360" w:lineRule="auto"/>
        <w:jc w:val="both"/>
        <w:rPr>
          <w:rFonts w:ascii="Arial" w:eastAsia="Arial" w:hAnsi="Arial" w:cs="Arial"/>
          <w:b/>
          <w:bCs/>
          <w:color w:val="000000" w:themeColor="text1"/>
          <w:sz w:val="24"/>
          <w:szCs w:val="24"/>
        </w:rPr>
      </w:pPr>
      <w:bookmarkStart w:id="11" w:name="__RefHeading___Toc8576_542869190"/>
      <w:bookmarkStart w:id="12" w:name="_Toc230853763"/>
      <w:bookmarkEnd w:id="11"/>
      <w:r w:rsidRPr="00242DFB">
        <w:rPr>
          <w:rFonts w:ascii="Arial" w:eastAsia="Arial" w:hAnsi="Arial" w:cs="Arial"/>
          <w:b/>
          <w:bCs/>
          <w:color w:val="000000"/>
          <w:sz w:val="24"/>
          <w:szCs w:val="24"/>
        </w:rPr>
        <w:t xml:space="preserve"> </w:t>
      </w:r>
      <w:r w:rsidR="00000000" w:rsidRPr="00242DFB">
        <w:rPr>
          <w:rFonts w:ascii="Arial" w:eastAsia="Arial" w:hAnsi="Arial" w:cs="Arial"/>
          <w:b/>
          <w:bCs/>
          <w:color w:val="000000"/>
          <w:sz w:val="24"/>
          <w:szCs w:val="24"/>
        </w:rPr>
        <w:t>Objetivo general</w:t>
      </w:r>
      <w:bookmarkEnd w:id="12"/>
    </w:p>
    <w:p w14:paraId="73B771A1" w14:textId="77777777" w:rsidR="00F942AE" w:rsidRPr="00242DFB" w:rsidRDefault="00F942AE" w:rsidP="00250C25">
      <w:pPr>
        <w:spacing w:line="360" w:lineRule="auto"/>
        <w:jc w:val="both"/>
        <w:rPr>
          <w:rFonts w:ascii="Arial" w:eastAsia="Arial" w:hAnsi="Arial" w:cs="Arial"/>
          <w:color w:val="000000"/>
        </w:rPr>
      </w:pPr>
    </w:p>
    <w:p w14:paraId="1A0D6BB4" w14:textId="153F7611" w:rsidR="009F762E" w:rsidRPr="00242DFB" w:rsidRDefault="00000000" w:rsidP="00250C25">
      <w:pPr>
        <w:spacing w:line="360" w:lineRule="auto"/>
        <w:jc w:val="both"/>
        <w:rPr>
          <w:rFonts w:ascii="Arial" w:eastAsia="Arial" w:hAnsi="Arial" w:cs="Arial"/>
          <w:color w:val="000000" w:themeColor="text1"/>
        </w:rPr>
      </w:pPr>
      <w:r w:rsidRPr="00242DFB">
        <w:rPr>
          <w:rFonts w:ascii="Arial" w:eastAsia="Arial" w:hAnsi="Arial" w:cs="Arial"/>
          <w:color w:val="000000"/>
        </w:rPr>
        <w:t>Analizar de manera integral la operación de la Capital Salud EPS-S en Bogotá, a partir del estudio de las manifestaciones ciudadanas, el desempeño financiero, los resultados en salud y la gestión del riesgo, con el fin de sustentar la toma de decisiones estratégicas de la Secretaría Distrital de Salud</w:t>
      </w:r>
      <w:r w:rsidR="00F942AE" w:rsidRPr="00242DFB">
        <w:rPr>
          <w:rFonts w:ascii="Arial" w:eastAsia="Arial" w:hAnsi="Arial" w:cs="Arial"/>
          <w:color w:val="000000"/>
        </w:rPr>
        <w:t xml:space="preserve"> </w:t>
      </w:r>
      <w:r w:rsidRPr="00242DFB">
        <w:rPr>
          <w:rFonts w:ascii="Arial" w:eastAsia="Arial" w:hAnsi="Arial" w:cs="Arial"/>
          <w:color w:val="000000"/>
        </w:rPr>
        <w:t>en su calidad de Ente Territorial.</w:t>
      </w:r>
    </w:p>
    <w:p w14:paraId="0FE99E14" w14:textId="77777777" w:rsidR="009F762E" w:rsidRPr="00242DFB" w:rsidRDefault="009F762E" w:rsidP="002A0E52">
      <w:pPr>
        <w:spacing w:line="360" w:lineRule="auto"/>
        <w:jc w:val="both"/>
        <w:rPr>
          <w:rFonts w:ascii="Arial" w:eastAsia="Arial" w:hAnsi="Arial" w:cs="Arial"/>
          <w:color w:val="000000" w:themeColor="text1"/>
        </w:rPr>
      </w:pPr>
    </w:p>
    <w:p w14:paraId="106215E6" w14:textId="7D2C0119" w:rsidR="009F762E" w:rsidRPr="00242DFB" w:rsidRDefault="00250C25" w:rsidP="002A0E52">
      <w:pPr>
        <w:pStyle w:val="Ttulo2"/>
        <w:numPr>
          <w:ilvl w:val="1"/>
          <w:numId w:val="7"/>
        </w:numPr>
        <w:spacing w:before="0" w:line="360" w:lineRule="auto"/>
        <w:jc w:val="both"/>
        <w:rPr>
          <w:rFonts w:ascii="Arial" w:eastAsia="Arial" w:hAnsi="Arial" w:cs="Arial"/>
          <w:b/>
          <w:bCs/>
          <w:color w:val="000000" w:themeColor="text1"/>
          <w:sz w:val="24"/>
          <w:szCs w:val="24"/>
        </w:rPr>
      </w:pPr>
      <w:bookmarkStart w:id="13" w:name="__RefHeading___Toc8578_542869190"/>
      <w:bookmarkStart w:id="14" w:name="_Toc230853764"/>
      <w:bookmarkEnd w:id="13"/>
      <w:r w:rsidRPr="00242DFB">
        <w:rPr>
          <w:rFonts w:ascii="Arial" w:eastAsia="Arial" w:hAnsi="Arial" w:cs="Arial"/>
          <w:b/>
          <w:bCs/>
          <w:color w:val="000000"/>
          <w:sz w:val="24"/>
          <w:szCs w:val="24"/>
        </w:rPr>
        <w:t xml:space="preserve"> </w:t>
      </w:r>
      <w:r w:rsidR="00000000" w:rsidRPr="00242DFB">
        <w:rPr>
          <w:rFonts w:ascii="Arial" w:eastAsia="Arial" w:hAnsi="Arial" w:cs="Arial"/>
          <w:b/>
          <w:bCs/>
          <w:color w:val="000000"/>
          <w:sz w:val="24"/>
          <w:szCs w:val="24"/>
        </w:rPr>
        <w:t>Objetivos específicos</w:t>
      </w:r>
      <w:bookmarkEnd w:id="14"/>
    </w:p>
    <w:p w14:paraId="1DEEC79D" w14:textId="77777777" w:rsidR="009F762E" w:rsidRPr="00242DFB" w:rsidRDefault="009F762E" w:rsidP="002A0E52">
      <w:pPr>
        <w:spacing w:line="360" w:lineRule="auto"/>
        <w:jc w:val="both"/>
        <w:rPr>
          <w:rFonts w:ascii="Arial" w:hAnsi="Arial" w:cs="Arial"/>
          <w:color w:val="000000" w:themeColor="text1"/>
        </w:rPr>
      </w:pPr>
    </w:p>
    <w:p w14:paraId="6C6C8835" w14:textId="77777777" w:rsidR="009F762E" w:rsidRPr="00242DFB" w:rsidRDefault="00000000" w:rsidP="004A3D85">
      <w:pPr>
        <w:spacing w:line="360" w:lineRule="auto"/>
        <w:jc w:val="both"/>
        <w:rPr>
          <w:rFonts w:ascii="Arial" w:eastAsia="Arial" w:hAnsi="Arial" w:cs="Arial"/>
          <w:color w:val="000000" w:themeColor="text1"/>
        </w:rPr>
      </w:pPr>
      <w:r w:rsidRPr="00242DFB">
        <w:rPr>
          <w:rStyle w:val="s1"/>
          <w:rFonts w:ascii="Arial" w:eastAsia="Arial" w:hAnsi="Arial" w:cs="Arial"/>
          <w:color w:val="000000"/>
        </w:rPr>
        <w:t>3.2.1 Examinar el comportamiento de las Manifestaciones Ciudadanas —Peticiones, Quejas, Reclamos, Sugerencias y Denuncias (PQRS)—, evaluando su volumen, tipología, oportunidad de respuesta y efectividad en la gestión, e identificando su relación con la experiencia del usuario y las principales barreras de acceso a los servicios de salud en Bogotá.</w:t>
      </w:r>
    </w:p>
    <w:p w14:paraId="1AB23F9C" w14:textId="77777777" w:rsidR="009F762E" w:rsidRPr="00242DFB" w:rsidRDefault="009F762E" w:rsidP="004A3D85">
      <w:pPr>
        <w:spacing w:line="360" w:lineRule="auto"/>
        <w:jc w:val="both"/>
        <w:rPr>
          <w:rFonts w:ascii="Arial" w:eastAsia="Arial" w:hAnsi="Arial" w:cs="Arial"/>
          <w:color w:val="000000" w:themeColor="text1"/>
        </w:rPr>
      </w:pPr>
    </w:p>
    <w:p w14:paraId="433EFBF1" w14:textId="77777777" w:rsidR="009F762E" w:rsidRPr="00242DFB" w:rsidRDefault="00000000" w:rsidP="004A3D85">
      <w:pPr>
        <w:spacing w:line="360" w:lineRule="auto"/>
        <w:jc w:val="both"/>
        <w:rPr>
          <w:rFonts w:ascii="Arial" w:eastAsia="Arial" w:hAnsi="Arial" w:cs="Arial"/>
          <w:color w:val="000000" w:themeColor="text1"/>
        </w:rPr>
      </w:pPr>
      <w:r w:rsidRPr="00242DFB">
        <w:rPr>
          <w:rStyle w:val="s1"/>
          <w:rFonts w:ascii="Arial" w:eastAsia="Arial" w:hAnsi="Arial" w:cs="Arial"/>
          <w:color w:val="000000"/>
        </w:rPr>
        <w:t xml:space="preserve">3.2.2 Analizar la situación financiera y la solvencia de la Capital Salud EPS-S, mediante la revisión de sus principales indicadores financieros y su evolución, para </w:t>
      </w:r>
      <w:r w:rsidRPr="00242DFB">
        <w:rPr>
          <w:rStyle w:val="s1"/>
          <w:rFonts w:ascii="Arial" w:eastAsia="Arial" w:hAnsi="Arial" w:cs="Arial"/>
          <w:color w:val="000000"/>
        </w:rPr>
        <w:lastRenderedPageBreak/>
        <w:t>valorar su incidencia en la capacidad de la entidad de garantizar la continuidad, oportunidad y calidad en la prestación de los servicios de salud.</w:t>
      </w:r>
    </w:p>
    <w:p w14:paraId="62543633" w14:textId="77777777" w:rsidR="009F762E" w:rsidRPr="00242DFB" w:rsidRDefault="009F762E" w:rsidP="004A3D85">
      <w:pPr>
        <w:spacing w:line="360" w:lineRule="auto"/>
        <w:jc w:val="both"/>
        <w:rPr>
          <w:rFonts w:ascii="Arial" w:eastAsia="Arial" w:hAnsi="Arial" w:cs="Arial"/>
          <w:color w:val="000000" w:themeColor="text1"/>
        </w:rPr>
      </w:pPr>
    </w:p>
    <w:p w14:paraId="53B020B6" w14:textId="77777777" w:rsidR="009F762E" w:rsidRPr="00242DFB" w:rsidRDefault="00000000" w:rsidP="004A3D85">
      <w:pPr>
        <w:spacing w:line="360" w:lineRule="auto"/>
        <w:jc w:val="both"/>
        <w:rPr>
          <w:rFonts w:ascii="Arial" w:eastAsia="Arial" w:hAnsi="Arial" w:cs="Arial"/>
          <w:color w:val="000000" w:themeColor="text1"/>
        </w:rPr>
      </w:pPr>
      <w:r w:rsidRPr="00242DFB">
        <w:rPr>
          <w:rStyle w:val="s1"/>
          <w:rFonts w:ascii="Arial" w:eastAsia="Arial" w:hAnsi="Arial" w:cs="Arial"/>
          <w:color w:val="000000"/>
        </w:rPr>
        <w:t>3.2.3 Evaluar la gestión del riesgo en salud de Capital Salud EPS-S, con énfasis en la implementación de la Ruta Integral de Atención Materno Perinatal, a partir del análisis de eventos trazadores de mortalidad materna y de las acciones de demanda inducida orientadas a la identificación y seguimiento de gestantes en riesgo.</w:t>
      </w:r>
    </w:p>
    <w:p w14:paraId="26E3CC52" w14:textId="77777777" w:rsidR="009F762E" w:rsidRPr="00242DFB" w:rsidRDefault="009F762E" w:rsidP="004A3D85">
      <w:pPr>
        <w:spacing w:line="360" w:lineRule="auto"/>
        <w:jc w:val="both"/>
        <w:rPr>
          <w:rFonts w:ascii="Arial" w:eastAsia="Arial" w:hAnsi="Arial" w:cs="Arial"/>
          <w:color w:val="000000" w:themeColor="text1"/>
        </w:rPr>
      </w:pPr>
    </w:p>
    <w:p w14:paraId="0C223657" w14:textId="77777777" w:rsidR="009F762E" w:rsidRPr="00242DFB" w:rsidRDefault="00000000" w:rsidP="004A3D85">
      <w:pPr>
        <w:spacing w:line="360" w:lineRule="auto"/>
        <w:jc w:val="both"/>
        <w:rPr>
          <w:rFonts w:ascii="Arial" w:eastAsia="Arial" w:hAnsi="Arial" w:cs="Arial"/>
          <w:color w:val="000000" w:themeColor="text1"/>
        </w:rPr>
      </w:pPr>
      <w:r w:rsidRPr="00242DFB">
        <w:rPr>
          <w:rStyle w:val="s1"/>
          <w:rFonts w:ascii="Arial" w:eastAsia="Arial" w:hAnsi="Arial" w:cs="Arial"/>
          <w:color w:val="000000"/>
        </w:rPr>
        <w:t>3.2.4 Analizar la oportunidad, suficiencia y funcionamiento de la red prestadora de servicios de salud, a partir de indicadores de oportunidad en la asignación de citas y de la gestión de la entidad, con el fin de identificar barreras administrativas y operativas que afecten el acceso efectivo, la continuidad y la resolutividad de la atención.</w:t>
      </w:r>
    </w:p>
    <w:p w14:paraId="178B6533" w14:textId="77777777" w:rsidR="009F762E" w:rsidRPr="00242DFB" w:rsidRDefault="009F762E" w:rsidP="002A0E52">
      <w:pPr>
        <w:spacing w:line="360" w:lineRule="auto"/>
        <w:jc w:val="both"/>
        <w:rPr>
          <w:rFonts w:ascii="Arial" w:eastAsia="Arial" w:hAnsi="Arial" w:cs="Arial"/>
          <w:color w:val="000000" w:themeColor="text1"/>
        </w:rPr>
      </w:pPr>
    </w:p>
    <w:p w14:paraId="59B614D7" w14:textId="77777777" w:rsidR="009F762E" w:rsidRPr="00242DFB" w:rsidRDefault="00000000" w:rsidP="002A0E52">
      <w:pPr>
        <w:pStyle w:val="Ttulo1"/>
        <w:numPr>
          <w:ilvl w:val="0"/>
          <w:numId w:val="7"/>
        </w:numPr>
        <w:spacing w:before="0" w:line="360" w:lineRule="auto"/>
        <w:jc w:val="both"/>
        <w:rPr>
          <w:rFonts w:ascii="Arial" w:eastAsia="Arial" w:hAnsi="Arial" w:cs="Arial"/>
          <w:b/>
          <w:bCs/>
          <w:color w:val="000000" w:themeColor="text1"/>
          <w:sz w:val="24"/>
          <w:szCs w:val="24"/>
        </w:rPr>
      </w:pPr>
      <w:bookmarkStart w:id="15" w:name="__RefHeading___Toc8580_542869190"/>
      <w:bookmarkStart w:id="16" w:name="_Toc230853765"/>
      <w:bookmarkEnd w:id="15"/>
      <w:r w:rsidRPr="00242DFB">
        <w:rPr>
          <w:rFonts w:ascii="Arial" w:eastAsia="Arial" w:hAnsi="Arial" w:cs="Arial"/>
          <w:b/>
          <w:bCs/>
          <w:color w:val="000000"/>
          <w:sz w:val="24"/>
          <w:szCs w:val="24"/>
        </w:rPr>
        <w:t>RECLAMACIONES EN SALUD</w:t>
      </w:r>
      <w:r w:rsidRPr="00242DFB">
        <w:rPr>
          <w:rStyle w:val="Refdenotaalpie"/>
          <w:rFonts w:ascii="Arial" w:eastAsia="Arial" w:hAnsi="Arial" w:cs="Arial"/>
          <w:b/>
          <w:bCs/>
          <w:color w:val="000000"/>
          <w:sz w:val="24"/>
          <w:szCs w:val="24"/>
        </w:rPr>
        <w:footnoteReference w:id="3"/>
      </w:r>
      <w:bookmarkEnd w:id="16"/>
      <w:r w:rsidRPr="00242DFB">
        <w:rPr>
          <w:rFonts w:ascii="Arial" w:eastAsia="Arial" w:hAnsi="Arial" w:cs="Arial"/>
          <w:b/>
          <w:bCs/>
          <w:color w:val="000000"/>
          <w:sz w:val="24"/>
          <w:szCs w:val="24"/>
        </w:rPr>
        <w:t xml:space="preserve"> </w:t>
      </w:r>
    </w:p>
    <w:p w14:paraId="394A689A" w14:textId="77777777" w:rsidR="009F762E" w:rsidRPr="00242DFB" w:rsidRDefault="009F762E" w:rsidP="002A0E52">
      <w:pPr>
        <w:spacing w:line="360" w:lineRule="auto"/>
        <w:jc w:val="both"/>
        <w:rPr>
          <w:rFonts w:ascii="Arial" w:hAnsi="Arial" w:cs="Arial"/>
          <w:color w:val="000000" w:themeColor="text1"/>
        </w:rPr>
      </w:pPr>
    </w:p>
    <w:p w14:paraId="4EB0B0A8"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En el marco del análisis de la experiencia de los usuarios y del desempeño operativo de la entidad, la tasa de reclamos en salud constituye un indicador clave para identificar presuntas barreras de acceso, dificultades en la oportunidad de la atención y fallas en la capacidad de respuesta institucional. Su seguimiento en el tiempo permite reconocer tendencias, dimensionar la magnitud del deterioro o mejoría en la gestión del aseguramiento y sustentar la priorización de acciones de inspección, vigilancia y seguimiento.</w:t>
      </w:r>
    </w:p>
    <w:p w14:paraId="6B75FBF7" w14:textId="77777777" w:rsidR="009F762E" w:rsidRPr="00242DFB" w:rsidRDefault="009F762E" w:rsidP="002A0E52">
      <w:pPr>
        <w:spacing w:line="360" w:lineRule="auto"/>
        <w:jc w:val="both"/>
        <w:rPr>
          <w:rFonts w:ascii="Arial" w:eastAsia="Arial" w:hAnsi="Arial" w:cs="Arial"/>
          <w:color w:val="000000" w:themeColor="text1"/>
        </w:rPr>
      </w:pPr>
    </w:p>
    <w:p w14:paraId="285011E4" w14:textId="77777777" w:rsidR="009F762E" w:rsidRPr="00242DFB" w:rsidRDefault="00000000" w:rsidP="002A0E52">
      <w:pPr>
        <w:spacing w:line="360" w:lineRule="auto"/>
        <w:jc w:val="both"/>
        <w:rPr>
          <w:rFonts w:ascii="Arial" w:eastAsia="Arial" w:hAnsi="Arial" w:cs="Arial"/>
          <w:color w:val="000000"/>
        </w:rPr>
      </w:pPr>
      <w:r w:rsidRPr="00242DFB">
        <w:rPr>
          <w:rFonts w:ascii="Arial" w:eastAsia="Arial" w:hAnsi="Arial" w:cs="Arial"/>
          <w:color w:val="000000"/>
        </w:rPr>
        <w:lastRenderedPageBreak/>
        <w:t>A continuación, la gráfica 3 muestra el comportamiento de la tasa de reclamos en salud acumulados en 12 meses de Capital Salud EPS-S en Bogotá D.C. durante el periodo 2020-2025. El análisis evidencia una tendencia creciente en la frecuencia de reclamaciones reportadas por los afiliados, lo que sugiere un aumento progresivo en las inconformidades relacionadas con el acceso, oportunidad, continuidad y resolución de necesidades en salud.</w:t>
      </w:r>
    </w:p>
    <w:p w14:paraId="66403623" w14:textId="77777777" w:rsidR="00D91970" w:rsidRPr="00242DFB" w:rsidRDefault="00D91970" w:rsidP="002A0E52">
      <w:pPr>
        <w:spacing w:line="360" w:lineRule="auto"/>
        <w:jc w:val="both"/>
        <w:rPr>
          <w:rFonts w:ascii="Arial" w:eastAsia="Arial" w:hAnsi="Arial" w:cs="Arial"/>
          <w:color w:val="000000" w:themeColor="text1"/>
        </w:rPr>
      </w:pPr>
    </w:p>
    <w:p w14:paraId="22CB25AE"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El comportamiento observado permite identificar un deterioro sostenido en la experiencia de los usuarios, especialmente en los últimos años del periodo analizado, donde la curva de crecimiento presenta una aceleración importante. Este incremento en la tasa de reclamos puede asociarse a mayores dificultades en la capacidad de respuesta institucional, incremento en barreras administrativas y presiones sobre la red de prestación de servicios, particularmente considerando el volumen de afiliados que administra la EPS en Bogotá D.C. y municipios circunvecino en este caso Soacha.</w:t>
      </w:r>
    </w:p>
    <w:p w14:paraId="6671537C" w14:textId="77777777" w:rsidR="009F762E" w:rsidRPr="00242DFB" w:rsidRDefault="009F762E" w:rsidP="002A0E52">
      <w:pPr>
        <w:spacing w:line="360" w:lineRule="auto"/>
        <w:jc w:val="both"/>
        <w:rPr>
          <w:rFonts w:ascii="Arial" w:eastAsia="Arial" w:hAnsi="Arial" w:cs="Arial"/>
          <w:color w:val="000000" w:themeColor="text1"/>
        </w:rPr>
      </w:pPr>
    </w:p>
    <w:p w14:paraId="5750DA5B" w14:textId="23E56129" w:rsidR="00D60344" w:rsidRPr="00242DFB" w:rsidRDefault="00D60344" w:rsidP="00D60344">
      <w:pPr>
        <w:spacing w:line="360" w:lineRule="auto"/>
        <w:jc w:val="center"/>
        <w:rPr>
          <w:rFonts w:ascii="Arial" w:hAnsi="Arial" w:cs="Arial"/>
          <w:i/>
          <w:iCs/>
          <w:color w:val="000000" w:themeColor="text1"/>
        </w:rPr>
      </w:pPr>
      <w:r w:rsidRPr="00242DFB">
        <w:rPr>
          <w:rFonts w:ascii="Arial" w:hAnsi="Arial" w:cs="Arial"/>
          <w:i/>
          <w:iCs/>
          <w:color w:val="000000" w:themeColor="text1"/>
        </w:rPr>
        <w:t xml:space="preserve">Gráfica </w:t>
      </w:r>
      <w:r w:rsidRPr="00242DFB">
        <w:rPr>
          <w:rFonts w:ascii="Arial" w:hAnsi="Arial" w:cs="Arial"/>
          <w:i/>
          <w:iCs/>
          <w:color w:val="000000" w:themeColor="text1"/>
        </w:rPr>
        <w:fldChar w:fldCharType="begin"/>
      </w:r>
      <w:r w:rsidRPr="00242DFB">
        <w:rPr>
          <w:rFonts w:ascii="Arial" w:hAnsi="Arial" w:cs="Arial"/>
          <w:i/>
          <w:iCs/>
          <w:color w:val="000000" w:themeColor="text1"/>
        </w:rPr>
        <w:instrText xml:space="preserve"> SEQ Gráfica \* ARABIC </w:instrText>
      </w:r>
      <w:r w:rsidRPr="00242DFB">
        <w:rPr>
          <w:rFonts w:ascii="Arial" w:hAnsi="Arial" w:cs="Arial"/>
          <w:i/>
          <w:iCs/>
          <w:color w:val="000000" w:themeColor="text1"/>
        </w:rPr>
        <w:fldChar w:fldCharType="separate"/>
      </w:r>
      <w:r w:rsidR="004F456A">
        <w:rPr>
          <w:rFonts w:ascii="Arial" w:hAnsi="Arial" w:cs="Arial"/>
          <w:i/>
          <w:iCs/>
          <w:noProof/>
          <w:color w:val="000000" w:themeColor="text1"/>
        </w:rPr>
        <w:t>3</w:t>
      </w:r>
      <w:r w:rsidRPr="00242DFB">
        <w:rPr>
          <w:rFonts w:ascii="Arial" w:hAnsi="Arial" w:cs="Arial"/>
          <w:i/>
          <w:iCs/>
          <w:color w:val="000000" w:themeColor="text1"/>
        </w:rPr>
        <w:fldChar w:fldCharType="end"/>
      </w:r>
      <w:r w:rsidRPr="00242DFB">
        <w:rPr>
          <w:rFonts w:ascii="Arial" w:hAnsi="Arial" w:cs="Arial"/>
          <w:i/>
          <w:iCs/>
          <w:color w:val="000000" w:themeColor="text1"/>
        </w:rPr>
        <w:t>. Tasa de reclamos en salud acumulados en 12 meses Capital Salud EPS-S 2020-2025, Bogotá D.C.</w:t>
      </w:r>
    </w:p>
    <w:p w14:paraId="2731AB80" w14:textId="0BBB337C" w:rsidR="009F762E" w:rsidRPr="00242DFB" w:rsidRDefault="00762BCE" w:rsidP="002A0E52">
      <w:pPr>
        <w:spacing w:line="360" w:lineRule="auto"/>
        <w:jc w:val="center"/>
        <w:rPr>
          <w:rFonts w:ascii="Arial" w:hAnsi="Arial" w:cs="Arial"/>
          <w:color w:val="000000" w:themeColor="text1"/>
        </w:rPr>
      </w:pPr>
      <w:r w:rsidRPr="00242DFB">
        <w:rPr>
          <w:rFonts w:ascii="Arial" w:hAnsi="Arial" w:cs="Arial"/>
          <w:noProof/>
          <w:sz w:val="22"/>
          <w:szCs w:val="22"/>
          <w:lang w:eastAsia="es-CO"/>
        </w:rPr>
        <mc:AlternateContent>
          <mc:Choice Requires="wpg">
            <w:drawing>
              <wp:anchor distT="0" distB="0" distL="114300" distR="114300" simplePos="0" relativeHeight="251663872" behindDoc="0" locked="0" layoutInCell="1" allowOverlap="1" wp14:anchorId="125B0F93" wp14:editId="4078355B">
                <wp:simplePos x="0" y="0"/>
                <wp:positionH relativeFrom="column">
                  <wp:posOffset>270933</wp:posOffset>
                </wp:positionH>
                <wp:positionV relativeFrom="paragraph">
                  <wp:posOffset>1667510</wp:posOffset>
                </wp:positionV>
                <wp:extent cx="4869180" cy="295910"/>
                <wp:effectExtent l="38100" t="0" r="0" b="8890"/>
                <wp:wrapNone/>
                <wp:docPr id="21" name="Grupo 21"/>
                <wp:cNvGraphicFramePr/>
                <a:graphic xmlns:a="http://schemas.openxmlformats.org/drawingml/2006/main">
                  <a:graphicData uri="http://schemas.microsoft.com/office/word/2010/wordprocessingGroup">
                    <wpg:wgp>
                      <wpg:cNvGrpSpPr/>
                      <wpg:grpSpPr>
                        <a:xfrm>
                          <a:off x="0" y="0"/>
                          <a:ext cx="4869180" cy="295910"/>
                          <a:chOff x="44450" y="0"/>
                          <a:chExt cx="4869180" cy="295910"/>
                        </a:xfrm>
                      </wpg:grpSpPr>
                      <wps:wsp>
                        <wps:cNvPr id="19" name="Conector recto de flecha 5"/>
                        <wps:cNvCnPr/>
                        <wps:spPr>
                          <a:xfrm>
                            <a:off x="44450" y="161925"/>
                            <a:ext cx="4869180" cy="0"/>
                          </a:xfrm>
                          <a:prstGeom prst="straightConnector1">
                            <a:avLst/>
                          </a:prstGeom>
                          <a:ln w="28575">
                            <a:solidFill>
                              <a:srgbClr val="C00000"/>
                            </a:solidFill>
                            <a:prstDash val="sysDot"/>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20" name="CuadroTexto 2"/>
                        <wps:cNvSpPr txBox="1"/>
                        <wps:spPr>
                          <a:xfrm>
                            <a:off x="2009516" y="0"/>
                            <a:ext cx="1076325" cy="295910"/>
                          </a:xfrm>
                          <a:prstGeom prst="rect">
                            <a:avLst/>
                          </a:prstGeom>
                          <a:solidFill>
                            <a:schemeClr val="bg1"/>
                          </a:solidFill>
                        </wps:spPr>
                        <wps:txbx>
                          <w:txbxContent>
                            <w:p w14:paraId="2A237A9E" w14:textId="0D82E9A6" w:rsidR="00762BCE" w:rsidRPr="00681C70" w:rsidRDefault="00762BCE" w:rsidP="00762BCE">
                              <w:pPr>
                                <w:jc w:val="center"/>
                                <w:rPr>
                                  <w:rFonts w:ascii="Arial" w:eastAsia="Arial" w:hAnsi="Arial"/>
                                  <w:b/>
                                  <w:bCs/>
                                  <w:color w:val="000000" w:themeColor="text1"/>
                                  <w:sz w:val="28"/>
                                  <w:szCs w:val="28"/>
                                  <w:lang w:val="es-ES"/>
                                </w:rPr>
                              </w:pPr>
                              <w:r>
                                <w:rPr>
                                  <w:rFonts w:ascii="Arial" w:eastAsia="Arial" w:hAnsi="Arial"/>
                                  <w:b/>
                                  <w:bCs/>
                                  <w:color w:val="000000" w:themeColor="text1"/>
                                  <w:sz w:val="28"/>
                                  <w:szCs w:val="28"/>
                                  <w:lang w:val="es-ES"/>
                                </w:rPr>
                                <w:t>118,4</w:t>
                              </w:r>
                              <w:r w:rsidRPr="00681C70">
                                <w:rPr>
                                  <w:rFonts w:ascii="Arial" w:eastAsia="Arial" w:hAnsi="Arial"/>
                                  <w:b/>
                                  <w:bCs/>
                                  <w:color w:val="000000" w:themeColor="text1"/>
                                  <w:sz w:val="28"/>
                                  <w:szCs w:val="28"/>
                                  <w:lang w:val="es-ES"/>
                                </w:rPr>
                                <w:t>%</w:t>
                              </w:r>
                            </w:p>
                          </w:txbxContent>
                        </wps:txbx>
                        <wps:bodyPr wrap="square">
                          <a:spAutoFit/>
                        </wps:bodyPr>
                      </wps:wsp>
                    </wpg:wgp>
                  </a:graphicData>
                </a:graphic>
                <wp14:sizeRelH relativeFrom="margin">
                  <wp14:pctWidth>0</wp14:pctWidth>
                </wp14:sizeRelH>
              </wp:anchor>
            </w:drawing>
          </mc:Choice>
          <mc:Fallback>
            <w:pict>
              <v:group w14:anchorId="125B0F93" id="Grupo 21" o:spid="_x0000_s1026" style="position:absolute;left:0;text-align:left;margin-left:21.35pt;margin-top:131.3pt;width:383.4pt;height:23.3pt;z-index:251663872;mso-width-relative:margin" coordorigin="444" coordsize="48691,2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">
                <v:shapetype id="_x0000_t32" coordsize="21600,21600" o:spt="32" o:oned="t" path="m,l21600,21600e" filled="f">
                  <v:path arrowok="t" fillok="f" o:connecttype="none"/>
                  <o:lock v:ext="edit" shapetype="t"/>
                </v:shapetype>
                <v:shape id="Conector recto de flecha 5" o:spid="_x0000_s1027" type="#_x0000_t32" style="position:absolute;left:444;top:1619;width:486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" strokecolor="#c00000" strokeweight="2.25pt">
                  <v:stroke dashstyle="1 1" startarrow="block" endarrow="block" joinstyle="miter"/>
                </v:shape>
                <v:shapetype id="_x0000_t202" coordsize="21600,21600" o:spt="202" path="m,l,21600r21600,l21600,xe">
                  <v:stroke joinstyle="miter"/>
                  <v:path gradientshapeok="t" o:connecttype="rect"/>
                </v:shapetype>
                <v:shape id="CuadroTexto 2" o:spid="_x0000_s1028" type="#_x0000_t202" style="position:absolute;left:20095;width:1076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" fillcolor="white [3212]" stroked="f">
                  <v:textbox style="mso-fit-shape-to-text:t">
                    <w:txbxContent>
                      <w:p w14:paraId="2A237A9E" w14:textId="0D82E9A6" w:rsidR="00762BCE" w:rsidRPr="00681C70" w:rsidRDefault="00762BCE" w:rsidP="00762BCE">
                        <w:pPr>
                          <w:jc w:val="center"/>
                          <w:rPr>
                            <w:rFonts w:ascii="Arial" w:eastAsia="Arial" w:hAnsi="Arial"/>
                            <w:b/>
                            <w:bCs/>
                            <w:color w:val="000000" w:themeColor="text1"/>
                            <w:sz w:val="28"/>
                            <w:szCs w:val="28"/>
                            <w:lang w:val="es-ES"/>
                          </w:rPr>
                        </w:pPr>
                        <w:r>
                          <w:rPr>
                            <w:rFonts w:ascii="Arial" w:eastAsia="Arial" w:hAnsi="Arial"/>
                            <w:b/>
                            <w:bCs/>
                            <w:color w:val="000000" w:themeColor="text1"/>
                            <w:sz w:val="28"/>
                            <w:szCs w:val="28"/>
                            <w:lang w:val="es-ES"/>
                          </w:rPr>
                          <w:t>118,4</w:t>
                        </w:r>
                        <w:r w:rsidRPr="00681C70">
                          <w:rPr>
                            <w:rFonts w:ascii="Arial" w:eastAsia="Arial" w:hAnsi="Arial"/>
                            <w:b/>
                            <w:bCs/>
                            <w:color w:val="000000" w:themeColor="text1"/>
                            <w:sz w:val="28"/>
                            <w:szCs w:val="28"/>
                            <w:lang w:val="es-ES"/>
                          </w:rPr>
                          <w:t>%</w:t>
                        </w:r>
                      </w:p>
                    </w:txbxContent>
                  </v:textbox>
                </v:shape>
              </v:group>
            </w:pict>
          </mc:Fallback>
        </mc:AlternateContent>
      </w:r>
      <w:r w:rsidR="00D60344" w:rsidRPr="00242DFB">
        <w:rPr>
          <w:rFonts w:ascii="Arial" w:hAnsi="Arial" w:cs="Arial"/>
          <w:noProof/>
        </w:rPr>
        <mc:AlternateContent>
          <mc:Choice Requires="wps">
            <w:drawing>
              <wp:anchor distT="0" distB="0" distL="114300" distR="114300" simplePos="0" relativeHeight="251661824" behindDoc="0" locked="0" layoutInCell="1" allowOverlap="1" wp14:anchorId="42A1FB34" wp14:editId="2A87FBBB">
                <wp:simplePos x="0" y="0"/>
                <wp:positionH relativeFrom="column">
                  <wp:posOffset>4999990</wp:posOffset>
                </wp:positionH>
                <wp:positionV relativeFrom="paragraph">
                  <wp:posOffset>575309</wp:posOffset>
                </wp:positionV>
                <wp:extent cx="862224" cy="422592"/>
                <wp:effectExtent l="0" t="8890" r="5715" b="5715"/>
                <wp:wrapNone/>
                <wp:docPr id="17" name="Flecha: a la derecha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62224" cy="422592"/>
                        </a:xfrm>
                        <a:prstGeom prst="rightArrow">
                          <a:avLst/>
                        </a:prstGeom>
                        <a:solidFill>
                          <a:srgbClr val="C00000"/>
                        </a:solidFill>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E999B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17" o:spid="_x0000_s1026" type="#_x0000_t13" style="position:absolute;margin-left:393.7pt;margin-top:45.3pt;width:67.9pt;height:33.25pt;rotation:-9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" adj="16307" fillcolor="#c00000" stroked="f" strokeweight="1pt"/>
            </w:pict>
          </mc:Fallback>
        </mc:AlternateContent>
      </w:r>
      <w:r w:rsidR="00843D08" w:rsidRPr="00242DFB">
        <w:rPr>
          <w:rFonts w:ascii="Arial" w:hAnsi="Arial" w:cs="Arial"/>
          <w:noProof/>
        </w:rPr>
        <w:drawing>
          <wp:inline distT="0" distB="0" distL="0" distR="0" wp14:anchorId="114BC78D" wp14:editId="3DD0F646">
            <wp:extent cx="5782310" cy="2472267"/>
            <wp:effectExtent l="0" t="0" r="8890" b="4445"/>
            <wp:docPr id="15" name="Gráfico 15">
              <a:extLst xmlns:a="http://schemas.openxmlformats.org/drawingml/2006/main">
                <a:ext uri="{FF2B5EF4-FFF2-40B4-BE49-F238E27FC236}">
                  <a16:creationId xmlns:a16="http://schemas.microsoft.com/office/drawing/2014/main" id="{00000000-0008-0000-01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78D0D44" w14:textId="1E6B1DEA" w:rsidR="009F762E" w:rsidRPr="00242DFB" w:rsidRDefault="00000000" w:rsidP="00843D08">
      <w:pPr>
        <w:spacing w:line="360" w:lineRule="auto"/>
        <w:jc w:val="both"/>
        <w:rPr>
          <w:rFonts w:ascii="Arial" w:hAnsi="Arial" w:cs="Arial"/>
          <w:color w:val="000000" w:themeColor="text1"/>
          <w:sz w:val="16"/>
          <w:szCs w:val="16"/>
        </w:rPr>
      </w:pPr>
      <w:r w:rsidRPr="00242DFB">
        <w:rPr>
          <w:rFonts w:ascii="Arial" w:eastAsia="Arial" w:hAnsi="Arial" w:cs="Arial"/>
          <w:color w:val="000000"/>
          <w:sz w:val="16"/>
          <w:szCs w:val="16"/>
        </w:rPr>
        <w:t xml:space="preserve">Fuente: Reclamos en salud por EPS Histórico Nacional de la Supersalud, consultado el 26 de mayo de 2026 en: </w:t>
      </w:r>
      <w:hyperlink r:id="rId20">
        <w:r w:rsidRPr="00242DFB">
          <w:rPr>
            <w:rStyle w:val="Hipervnculo"/>
            <w:rFonts w:ascii="Arial" w:eastAsia="Arial" w:hAnsi="Arial" w:cs="Arial"/>
            <w:color w:val="000000" w:themeColor="text1"/>
            <w:sz w:val="16"/>
            <w:szCs w:val="16"/>
          </w:rPr>
          <w:t>https://app.powerbi.com/viewr=eyJrIjoiYTMwY2Y4ZjEtNWI0MC00YjAxLThjOGUtMjdiYWZhZjVlZjgzIiwidCI6IjE3YzQwYzUxLWIxZGYtNGUyNS04Y2Q2LTlkMGQyNjc4ODMwMCIsImMiOjR9</w:t>
        </w:r>
      </w:hyperlink>
      <w:r w:rsidRPr="00242DFB">
        <w:rPr>
          <w:rFonts w:ascii="Arial" w:eastAsia="Arial" w:hAnsi="Arial" w:cs="Arial"/>
          <w:color w:val="000000"/>
          <w:sz w:val="16"/>
          <w:szCs w:val="16"/>
        </w:rPr>
        <w:t xml:space="preserve"> </w:t>
      </w:r>
    </w:p>
    <w:p w14:paraId="3942B349" w14:textId="59256C5E" w:rsidR="009F762E" w:rsidRPr="00242DFB" w:rsidRDefault="009F762E" w:rsidP="002A0E52">
      <w:pPr>
        <w:spacing w:line="360" w:lineRule="auto"/>
        <w:jc w:val="both"/>
        <w:rPr>
          <w:rFonts w:ascii="Arial" w:eastAsia="Arial" w:hAnsi="Arial" w:cs="Arial"/>
          <w:color w:val="000000" w:themeColor="text1"/>
        </w:rPr>
      </w:pPr>
    </w:p>
    <w:p w14:paraId="4EE4B93B"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lastRenderedPageBreak/>
        <w:t>Tomando como referencia todo el periodo, la gráfica reporta un aumento acumulado aproximado de 118,4 %, lo que indica que en 2025 la tasa de reclamos en salud de Capital Salud EPS-S fue más de dos veces la observada en 2020. Desde una lectura técnica, este comportamiento evidencia un deterioro progresivo en la experiencia de los usuarios y en la capacidad de respuesta operativa de la entidad, particularmente en componentes asociados a acceso, oportunidad, continuidad y resolución efectiva de necesidades en salud. El incremento sostenido observado durante el periodo analizado sugiere una profundización gradual de las barreras percibidas por los afiliados y una mayor presión sobre la gestión institucional y la red prestadora de servicios.</w:t>
      </w:r>
    </w:p>
    <w:p w14:paraId="37A2F1BD" w14:textId="77777777" w:rsidR="009F762E" w:rsidRPr="00242DFB" w:rsidRDefault="009F762E" w:rsidP="002A0E52">
      <w:pPr>
        <w:spacing w:line="360" w:lineRule="auto"/>
        <w:jc w:val="both"/>
        <w:rPr>
          <w:rFonts w:ascii="Arial" w:eastAsia="Arial" w:hAnsi="Arial" w:cs="Arial"/>
          <w:color w:val="000000" w:themeColor="text1"/>
        </w:rPr>
      </w:pPr>
    </w:p>
    <w:p w14:paraId="0120A952"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Según la información histórica publicada por la Superintendencia Nacional de Salud, en 2025 para el régimen contributivo y subsidiado, Capital Salud EPS-S ocupó el segundo lugar a nivel nacional entre las EPS con mayor tasa de reclamos en salud acumulada por cada 10.000 afiliados, registrando una tasa de 289,82 reclamos, cifra superior al promedio general del sistema de salud. En términos interpretativos, este resultado ubica a Capital Salud EPS-S como una de las entidades con mayor frecuencia de reclamaciones reportadas por sus afiliados, lo que sugiere mayores niveles de insatisfacción y posibles barreras percibidas en la prestación de los servicios de salud. Por tanto, su comportamiento amerita priorización en acciones de seguimiento, vigilancia y gestión correctiva orientadas a disminuir la recurrencia de reclamos y fortalecer la capacidad de respuesta institucional.</w:t>
      </w:r>
    </w:p>
    <w:p w14:paraId="5D0C511B" w14:textId="77777777" w:rsidR="009F762E" w:rsidRPr="00242DFB" w:rsidRDefault="009F762E" w:rsidP="002A0E52">
      <w:pPr>
        <w:spacing w:line="360" w:lineRule="auto"/>
        <w:jc w:val="both"/>
        <w:rPr>
          <w:rFonts w:ascii="Arial" w:eastAsia="Arial" w:hAnsi="Arial" w:cs="Arial"/>
          <w:color w:val="000000" w:themeColor="text1"/>
        </w:rPr>
      </w:pPr>
    </w:p>
    <w:p w14:paraId="3C9059FE" w14:textId="77777777" w:rsidR="009F762E" w:rsidRPr="00242DFB" w:rsidRDefault="00000000" w:rsidP="002A0E52">
      <w:pPr>
        <w:pStyle w:val="Ttulo2"/>
        <w:numPr>
          <w:ilvl w:val="1"/>
          <w:numId w:val="7"/>
        </w:numPr>
        <w:spacing w:before="0" w:line="360" w:lineRule="auto"/>
        <w:jc w:val="both"/>
        <w:rPr>
          <w:rFonts w:ascii="Arial" w:eastAsia="Arial" w:hAnsi="Arial" w:cs="Arial"/>
          <w:b/>
          <w:bCs/>
          <w:color w:val="000000" w:themeColor="text1"/>
          <w:sz w:val="24"/>
          <w:szCs w:val="24"/>
        </w:rPr>
      </w:pPr>
      <w:bookmarkStart w:id="17" w:name="__RefHeading___Toc8582_542869190"/>
      <w:bookmarkStart w:id="18" w:name="_Toc222732190"/>
      <w:bookmarkStart w:id="19" w:name="_Toc230853766"/>
      <w:bookmarkEnd w:id="17"/>
      <w:bookmarkEnd w:id="18"/>
      <w:r w:rsidRPr="00242DFB">
        <w:rPr>
          <w:rFonts w:ascii="Arial" w:eastAsia="Arial" w:hAnsi="Arial" w:cs="Arial"/>
          <w:b/>
          <w:bCs/>
          <w:color w:val="000000"/>
          <w:sz w:val="24"/>
          <w:szCs w:val="24"/>
        </w:rPr>
        <w:t>Comportamiento de las Reclamaciones – Capital Salud EPS-S</w:t>
      </w:r>
      <w:bookmarkEnd w:id="19"/>
    </w:p>
    <w:p w14:paraId="08D93AC5"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Las peticiones en materia de salud se enmarcan de manera general en el artículo 20 de la Ley 1437 de 2011, sustituido por el artículo 1 de la Ley 1755 de 2015. En consecuencia, la Superintendencia Nacional de Salud, mediante la Circular Externa 2023151000000010-5 de 2023 define los siguientes términos:</w:t>
      </w:r>
    </w:p>
    <w:p w14:paraId="10B054B6" w14:textId="77777777" w:rsidR="009F762E" w:rsidRPr="00242DFB" w:rsidRDefault="00000000" w:rsidP="002A0E52">
      <w:pPr>
        <w:spacing w:line="360" w:lineRule="auto"/>
        <w:jc w:val="both"/>
        <w:rPr>
          <w:rFonts w:ascii="Arial" w:eastAsia="Arial" w:hAnsi="Arial" w:cs="Arial"/>
          <w:i/>
          <w:color w:val="000000" w:themeColor="text1"/>
        </w:rPr>
      </w:pPr>
      <w:r w:rsidRPr="00242DFB">
        <w:rPr>
          <w:rFonts w:ascii="Arial" w:eastAsia="Arial" w:hAnsi="Arial" w:cs="Arial"/>
          <w:i/>
          <w:color w:val="000000"/>
        </w:rPr>
        <w:t xml:space="preserve"> </w:t>
      </w:r>
    </w:p>
    <w:p w14:paraId="57AE85FC" w14:textId="77777777" w:rsidR="009F762E" w:rsidRPr="00242DFB" w:rsidRDefault="00000000" w:rsidP="002A0E52">
      <w:pPr>
        <w:pStyle w:val="Prrafodelista"/>
        <w:numPr>
          <w:ilvl w:val="0"/>
          <w:numId w:val="6"/>
        </w:numPr>
        <w:spacing w:line="360" w:lineRule="auto"/>
        <w:jc w:val="both"/>
        <w:rPr>
          <w:rFonts w:ascii="Arial" w:eastAsia="Arial" w:hAnsi="Arial" w:cs="Arial"/>
          <w:b/>
          <w:i/>
          <w:color w:val="000000" w:themeColor="text1"/>
        </w:rPr>
      </w:pPr>
      <w:r w:rsidRPr="00242DFB">
        <w:rPr>
          <w:rFonts w:ascii="Arial" w:eastAsia="Arial" w:hAnsi="Arial" w:cs="Arial"/>
          <w:i/>
          <w:color w:val="000000"/>
        </w:rPr>
        <w:lastRenderedPageBreak/>
        <w:t xml:space="preserve">Reclamos de riesgo vital: Estos reclamos en salud deberán ser resueltos de manera inmediata y en todo caso no podrán superar el término máximo de veinticuatro </w:t>
      </w:r>
      <w:r w:rsidRPr="00242DFB">
        <w:rPr>
          <w:rFonts w:ascii="Arial" w:eastAsia="Arial" w:hAnsi="Arial" w:cs="Arial"/>
          <w:b/>
          <w:i/>
          <w:color w:val="000000"/>
        </w:rPr>
        <w:t xml:space="preserve">(24) horas. </w:t>
      </w:r>
    </w:p>
    <w:p w14:paraId="5D56F368" w14:textId="77777777" w:rsidR="009F762E" w:rsidRPr="00242DFB" w:rsidRDefault="00000000" w:rsidP="002A0E52">
      <w:pPr>
        <w:pStyle w:val="Prrafodelista"/>
        <w:numPr>
          <w:ilvl w:val="0"/>
          <w:numId w:val="6"/>
        </w:numPr>
        <w:spacing w:line="360" w:lineRule="auto"/>
        <w:jc w:val="both"/>
        <w:rPr>
          <w:rFonts w:ascii="Arial" w:eastAsia="Arial" w:hAnsi="Arial" w:cs="Arial"/>
          <w:i/>
          <w:color w:val="000000" w:themeColor="text1"/>
        </w:rPr>
      </w:pPr>
      <w:r w:rsidRPr="00242DFB">
        <w:rPr>
          <w:rFonts w:ascii="Arial" w:eastAsia="Arial" w:hAnsi="Arial" w:cs="Arial"/>
          <w:i/>
          <w:color w:val="000000"/>
        </w:rPr>
        <w:t xml:space="preserve">Reclamos de riesgo priorizado: Estos reclamos en salud deberán ser resueltos y, en todo caso no podrán superar el término máximo de cuarenta y ocho </w:t>
      </w:r>
      <w:r w:rsidRPr="00242DFB">
        <w:rPr>
          <w:rFonts w:ascii="Arial" w:eastAsia="Arial" w:hAnsi="Arial" w:cs="Arial"/>
          <w:b/>
          <w:i/>
          <w:color w:val="000000"/>
        </w:rPr>
        <w:t>(48) horas</w:t>
      </w:r>
      <w:r w:rsidRPr="00242DFB">
        <w:rPr>
          <w:rFonts w:ascii="Arial" w:eastAsia="Arial" w:hAnsi="Arial" w:cs="Arial"/>
          <w:i/>
          <w:color w:val="000000"/>
        </w:rPr>
        <w:t>.</w:t>
      </w:r>
    </w:p>
    <w:p w14:paraId="6BC4B4F8" w14:textId="77777777" w:rsidR="009F762E" w:rsidRPr="00242DFB" w:rsidRDefault="00000000" w:rsidP="002A0E52">
      <w:pPr>
        <w:pStyle w:val="Prrafodelista"/>
        <w:numPr>
          <w:ilvl w:val="0"/>
          <w:numId w:val="6"/>
        </w:numPr>
        <w:spacing w:line="360" w:lineRule="auto"/>
        <w:jc w:val="both"/>
        <w:rPr>
          <w:rFonts w:ascii="Arial" w:eastAsia="Arial" w:hAnsi="Arial" w:cs="Arial"/>
          <w:i/>
          <w:color w:val="000000" w:themeColor="text1"/>
        </w:rPr>
      </w:pPr>
      <w:r w:rsidRPr="00242DFB">
        <w:rPr>
          <w:rFonts w:ascii="Arial" w:eastAsia="Arial" w:hAnsi="Arial" w:cs="Arial"/>
          <w:i/>
          <w:color w:val="000000"/>
        </w:rPr>
        <w:t>Reclamos de riesgo simple: Los reclamos de riesgo simple en salud presentados directamente por los usuarios o a través de un tercero ante la entidad responsable o ante esta Superintendencia y trasladados al vigilado, se deben resolver de fondo en un término máximo de setenta y dos (72) horas a partir de la fecha de radicación.</w:t>
      </w:r>
    </w:p>
    <w:p w14:paraId="745F8647" w14:textId="77777777" w:rsidR="009F762E" w:rsidRPr="00242DFB" w:rsidRDefault="00000000" w:rsidP="002A0E52">
      <w:pPr>
        <w:pStyle w:val="Prrafodelista"/>
        <w:numPr>
          <w:ilvl w:val="0"/>
          <w:numId w:val="6"/>
        </w:numPr>
        <w:spacing w:line="360" w:lineRule="auto"/>
        <w:jc w:val="both"/>
        <w:rPr>
          <w:rFonts w:ascii="Arial" w:eastAsia="Arial" w:hAnsi="Arial" w:cs="Arial"/>
          <w:color w:val="000000" w:themeColor="text1"/>
        </w:rPr>
      </w:pPr>
      <w:r w:rsidRPr="00242DFB">
        <w:rPr>
          <w:rFonts w:ascii="Arial" w:eastAsia="Arial" w:hAnsi="Arial" w:cs="Arial"/>
          <w:i/>
          <w:color w:val="000000"/>
        </w:rPr>
        <w:t>Peticiones generales: Aquellas que contienen solicitudes de información y/o no están relacionadas con la garantía del acceso a los servicios de salud, ni con la atención o prestación de servicios de salud, por tanto, serán respondidas de acuerdo a los términos definidos en el artículo 14 de la Ley 1755 de 2015</w:t>
      </w:r>
    </w:p>
    <w:p w14:paraId="0FAF391F" w14:textId="77777777" w:rsidR="009F762E" w:rsidRPr="00242DFB" w:rsidRDefault="00000000" w:rsidP="002A0E52">
      <w:pPr>
        <w:spacing w:line="360" w:lineRule="auto"/>
        <w:ind w:left="360"/>
        <w:jc w:val="both"/>
        <w:rPr>
          <w:rFonts w:ascii="Arial" w:eastAsia="Arial" w:hAnsi="Arial" w:cs="Arial"/>
          <w:i/>
          <w:color w:val="000000" w:themeColor="text1"/>
        </w:rPr>
      </w:pPr>
      <w:r w:rsidRPr="00242DFB">
        <w:rPr>
          <w:rFonts w:ascii="Arial" w:eastAsia="Arial" w:hAnsi="Arial" w:cs="Arial"/>
          <w:i/>
          <w:color w:val="000000"/>
        </w:rPr>
        <w:t xml:space="preserve"> </w:t>
      </w:r>
    </w:p>
    <w:p w14:paraId="502F2052"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hAnsi="Arial" w:cs="Arial"/>
          <w:color w:val="000000"/>
        </w:rPr>
        <w:t>En el marco del seguimiento a las metas del Plan Distrital de Desarrollo Bogotá Camina Segura 2024–2027, particularmente la orientada a mejorar la experiencia del usuario en el proceso de atención en salud, se analizó el comportamiento de las Peticiones, Quejas, Reclamos y Sugerencias (PQRS), gestionadas por Capital Salud EPS-S durante la vigencia 2025.</w:t>
      </w:r>
    </w:p>
    <w:p w14:paraId="3AF7BD43"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 </w:t>
      </w:r>
    </w:p>
    <w:p w14:paraId="4D247427"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Este análisis permitió evaluar el desempeño institucional frente a la oportunidad de respuesta, la identificación de barreras de acceso para la prestación de los servicios de salud y su impacto directo sobre la experiencia del usuario.</w:t>
      </w:r>
    </w:p>
    <w:p w14:paraId="0A88DA95"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 </w:t>
      </w:r>
    </w:p>
    <w:p w14:paraId="3F363483" w14:textId="77777777" w:rsidR="009F762E" w:rsidRPr="00242DFB" w:rsidRDefault="00000000" w:rsidP="002A0E52">
      <w:pPr>
        <w:pStyle w:val="Prrafodelista"/>
        <w:numPr>
          <w:ilvl w:val="0"/>
          <w:numId w:val="5"/>
        </w:numPr>
        <w:spacing w:line="360" w:lineRule="auto"/>
        <w:jc w:val="both"/>
        <w:rPr>
          <w:rFonts w:ascii="Arial" w:eastAsia="Arial" w:hAnsi="Arial" w:cs="Arial"/>
          <w:color w:val="000000" w:themeColor="text1"/>
        </w:rPr>
      </w:pPr>
      <w:r w:rsidRPr="00242DFB">
        <w:rPr>
          <w:rFonts w:ascii="Arial" w:eastAsia="Arial" w:hAnsi="Arial" w:cs="Arial"/>
          <w:color w:val="000000"/>
        </w:rPr>
        <w:t xml:space="preserve">Población afiliada (diciembre 31 de 2025): 881.958 usuarios </w:t>
      </w:r>
    </w:p>
    <w:p w14:paraId="1D8949C7" w14:textId="77777777" w:rsidR="009F762E" w:rsidRPr="00242DFB" w:rsidRDefault="00000000" w:rsidP="002A0E52">
      <w:pPr>
        <w:pStyle w:val="Prrafodelista"/>
        <w:numPr>
          <w:ilvl w:val="0"/>
          <w:numId w:val="5"/>
        </w:numPr>
        <w:spacing w:line="360" w:lineRule="auto"/>
        <w:jc w:val="both"/>
        <w:rPr>
          <w:rFonts w:ascii="Arial" w:eastAsia="Arial" w:hAnsi="Arial" w:cs="Arial"/>
          <w:color w:val="000000" w:themeColor="text1"/>
        </w:rPr>
      </w:pPr>
      <w:r w:rsidRPr="00242DFB">
        <w:rPr>
          <w:rFonts w:ascii="Arial" w:eastAsia="Arial" w:hAnsi="Arial" w:cs="Arial"/>
          <w:color w:val="000000"/>
        </w:rPr>
        <w:t>Total, PQRS registradas: 80.568</w:t>
      </w:r>
    </w:p>
    <w:p w14:paraId="36E01602" w14:textId="77777777" w:rsidR="009F762E" w:rsidRPr="00242DFB" w:rsidRDefault="00000000" w:rsidP="002A0E52">
      <w:pPr>
        <w:pStyle w:val="Prrafodelista"/>
        <w:numPr>
          <w:ilvl w:val="0"/>
          <w:numId w:val="5"/>
        </w:numPr>
        <w:spacing w:line="360" w:lineRule="auto"/>
        <w:jc w:val="both"/>
        <w:rPr>
          <w:rFonts w:ascii="Arial" w:eastAsia="Arial" w:hAnsi="Arial" w:cs="Arial"/>
          <w:color w:val="000000" w:themeColor="text1"/>
        </w:rPr>
      </w:pPr>
      <w:r w:rsidRPr="00242DFB">
        <w:rPr>
          <w:rFonts w:ascii="Arial" w:eastAsia="Arial" w:hAnsi="Arial" w:cs="Arial"/>
          <w:color w:val="000000"/>
        </w:rPr>
        <w:t>Tasa de PQRS: 913 por cada 10.000 afiliados</w:t>
      </w:r>
    </w:p>
    <w:p w14:paraId="4DB925D7"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(Número de PQRS recibidas / Total de afiliados activos) × 10.000 afiliados.</w:t>
      </w:r>
    </w:p>
    <w:p w14:paraId="52ED7E26" w14:textId="77777777" w:rsidR="009F762E" w:rsidRPr="00242DFB" w:rsidRDefault="009F762E" w:rsidP="002A0E52">
      <w:pPr>
        <w:spacing w:line="360" w:lineRule="auto"/>
        <w:jc w:val="both"/>
        <w:rPr>
          <w:rFonts w:ascii="Arial" w:eastAsia="Arial" w:hAnsi="Arial" w:cs="Arial"/>
          <w:color w:val="000000" w:themeColor="text1"/>
          <w:lang w:eastAsia="es-CO"/>
        </w:rPr>
      </w:pPr>
    </w:p>
    <w:p w14:paraId="7C0D57DC" w14:textId="71E04F8F" w:rsidR="009F762E" w:rsidRPr="00242DFB" w:rsidRDefault="004C0C7B" w:rsidP="002A0E52">
      <w:pPr>
        <w:pStyle w:val="Ttulo2"/>
        <w:numPr>
          <w:ilvl w:val="1"/>
          <w:numId w:val="7"/>
        </w:numPr>
        <w:spacing w:before="0" w:line="360" w:lineRule="auto"/>
        <w:jc w:val="both"/>
        <w:rPr>
          <w:rFonts w:ascii="Arial" w:eastAsia="Arial" w:hAnsi="Arial" w:cs="Arial"/>
          <w:b/>
          <w:color w:val="000000" w:themeColor="text1"/>
          <w:sz w:val="24"/>
          <w:szCs w:val="24"/>
        </w:rPr>
      </w:pPr>
      <w:bookmarkStart w:id="20" w:name="__RefHeading___Toc8584_542869190"/>
      <w:bookmarkStart w:id="21" w:name="_Toc230853767"/>
      <w:bookmarkEnd w:id="20"/>
      <w:r w:rsidRPr="00242DFB">
        <w:rPr>
          <w:rFonts w:ascii="Arial" w:eastAsia="Arial" w:hAnsi="Arial" w:cs="Arial"/>
          <w:b/>
          <w:color w:val="000000"/>
          <w:sz w:val="24"/>
          <w:szCs w:val="24"/>
        </w:rPr>
        <w:t xml:space="preserve"> </w:t>
      </w:r>
      <w:r w:rsidR="00000000" w:rsidRPr="00242DFB">
        <w:rPr>
          <w:rFonts w:ascii="Arial" w:eastAsia="Arial" w:hAnsi="Arial" w:cs="Arial"/>
          <w:b/>
          <w:color w:val="000000"/>
          <w:sz w:val="24"/>
          <w:szCs w:val="24"/>
        </w:rPr>
        <w:t>Oportunidad en la respuesta a las PQRSD (Indicadores)</w:t>
      </w:r>
      <w:bookmarkEnd w:id="21"/>
    </w:p>
    <w:p w14:paraId="26F08DE2" w14:textId="77777777" w:rsidR="009F762E" w:rsidRPr="00242DFB" w:rsidRDefault="009F762E" w:rsidP="002A0E52">
      <w:pPr>
        <w:spacing w:line="360" w:lineRule="auto"/>
        <w:rPr>
          <w:rFonts w:ascii="Arial" w:hAnsi="Arial" w:cs="Arial"/>
          <w:color w:val="000000" w:themeColor="text1"/>
        </w:rPr>
      </w:pPr>
    </w:p>
    <w:p w14:paraId="757FCD6C" w14:textId="77777777" w:rsidR="009F762E" w:rsidRPr="00242DFB" w:rsidRDefault="00000000" w:rsidP="002A0E52">
      <w:pPr>
        <w:spacing w:line="360" w:lineRule="auto"/>
        <w:jc w:val="both"/>
        <w:rPr>
          <w:rFonts w:ascii="Arial" w:eastAsia="Arial" w:hAnsi="Arial" w:cs="Arial"/>
          <w:color w:val="000000"/>
        </w:rPr>
      </w:pPr>
      <w:r w:rsidRPr="00242DFB">
        <w:rPr>
          <w:rFonts w:ascii="Arial" w:eastAsia="Arial" w:hAnsi="Arial" w:cs="Arial"/>
          <w:color w:val="000000"/>
        </w:rPr>
        <w:t>Con el propósito de evaluar la oportunidad en la respuesta a las Peticiones, Quejas, Reclamos, Sugerencias y Denuncias (PQRS), se presenta a continuación el porcentaje de incumplimiento en los tiempos de respuesta, discriminado por tipo de manifestación. El análisis se realiza con base en los plazos establecidos en la Ley 1755 de 2015 y en la Circular Externa 2023151000000010-5 de la Superintendencia Nacional de Salud, que define tiempos diferenciales de respuesta de acuerdo con la clasificación del riesgo de cada manifestación.</w:t>
      </w:r>
    </w:p>
    <w:p w14:paraId="5DEEE2EF" w14:textId="77777777" w:rsidR="000928F8" w:rsidRPr="00242DFB" w:rsidRDefault="000928F8" w:rsidP="002A0E52">
      <w:pPr>
        <w:spacing w:line="360" w:lineRule="auto"/>
        <w:jc w:val="both"/>
        <w:rPr>
          <w:rFonts w:ascii="Arial" w:eastAsia="Arial" w:hAnsi="Arial" w:cs="Arial"/>
          <w:color w:val="000000" w:themeColor="text1"/>
        </w:rPr>
      </w:pPr>
    </w:p>
    <w:p w14:paraId="42F89C86"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La información analizada permite identificar el grado de cumplimiento normativo por parte de la EPS y dimensionar el impacto de los retrasos en la atención de las PQRS, especialmente en aquellos reclamos clasificados como riesgo vital, riesgo priorizado y riesgo simple, determinante para la protección del derecho fundamental a la salud y para la adecuada prestación del servicio público de salud.</w:t>
      </w:r>
    </w:p>
    <w:p w14:paraId="569996EC" w14:textId="77777777" w:rsidR="009F762E" w:rsidRPr="00242DFB" w:rsidRDefault="009F762E" w:rsidP="002A0E52">
      <w:pPr>
        <w:spacing w:line="360" w:lineRule="auto"/>
        <w:jc w:val="both"/>
        <w:rPr>
          <w:rFonts w:ascii="Arial" w:eastAsia="Arial" w:hAnsi="Arial" w:cs="Arial"/>
          <w:color w:val="000000" w:themeColor="text1"/>
        </w:rPr>
      </w:pPr>
    </w:p>
    <w:p w14:paraId="090286D0" w14:textId="426E16A1" w:rsidR="000928F8" w:rsidRPr="00242DFB" w:rsidRDefault="000928F8" w:rsidP="000928F8">
      <w:pPr>
        <w:pStyle w:val="Descripcin"/>
        <w:keepNext/>
        <w:jc w:val="center"/>
        <w:rPr>
          <w:rFonts w:ascii="Arial" w:hAnsi="Arial" w:cs="Arial"/>
          <w:color w:val="000000" w:themeColor="text1"/>
          <w:sz w:val="24"/>
          <w:szCs w:val="24"/>
        </w:rPr>
      </w:pPr>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8</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Porcentaje de incumplimiento en la respuesta por tipo de PQRS, 2025</w:t>
      </w:r>
    </w:p>
    <w:tbl>
      <w:tblPr>
        <w:tblStyle w:val="Tablaconcuadrcula"/>
        <w:tblW w:w="9695" w:type="dxa"/>
        <w:jc w:val="center"/>
        <w:tblLayout w:type="fixed"/>
        <w:tblLook w:val="04A0" w:firstRow="1" w:lastRow="0" w:firstColumn="1" w:lastColumn="0" w:noHBand="0" w:noVBand="1"/>
      </w:tblPr>
      <w:tblGrid>
        <w:gridCol w:w="2837"/>
        <w:gridCol w:w="1876"/>
        <w:gridCol w:w="2417"/>
        <w:gridCol w:w="2565"/>
      </w:tblGrid>
      <w:tr w:rsidR="009F762E" w:rsidRPr="00242DFB" w14:paraId="1D94335C" w14:textId="77777777" w:rsidTr="0051018D">
        <w:trPr>
          <w:cantSplit/>
          <w:trHeight w:val="371"/>
          <w:tblHeader/>
          <w:jc w:val="center"/>
        </w:trPr>
        <w:tc>
          <w:tcPr>
            <w:tcW w:w="2837" w:type="dxa"/>
          </w:tcPr>
          <w:p w14:paraId="708A358C"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Indicador</w:t>
            </w:r>
          </w:p>
        </w:tc>
        <w:tc>
          <w:tcPr>
            <w:tcW w:w="1876" w:type="dxa"/>
          </w:tcPr>
          <w:p w14:paraId="01351E78"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Periodo</w:t>
            </w:r>
          </w:p>
        </w:tc>
        <w:tc>
          <w:tcPr>
            <w:tcW w:w="2417" w:type="dxa"/>
          </w:tcPr>
          <w:p w14:paraId="6DDE9691"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Definición Operacional</w:t>
            </w:r>
          </w:p>
        </w:tc>
        <w:tc>
          <w:tcPr>
            <w:tcW w:w="2565" w:type="dxa"/>
          </w:tcPr>
          <w:p w14:paraId="0F4322A1"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Porcentaje Incumplimiento</w:t>
            </w:r>
          </w:p>
        </w:tc>
      </w:tr>
      <w:tr w:rsidR="009F762E" w:rsidRPr="00242DFB" w14:paraId="62F0B7EF" w14:textId="77777777" w:rsidTr="0051018D">
        <w:trPr>
          <w:cantSplit/>
          <w:trHeight w:val="278"/>
          <w:jc w:val="center"/>
        </w:trPr>
        <w:tc>
          <w:tcPr>
            <w:tcW w:w="2837" w:type="dxa"/>
            <w:vMerge w:val="restart"/>
          </w:tcPr>
          <w:p w14:paraId="59832517"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Total, PQRS determinadas como Riesgo Vital * 100</w:t>
            </w:r>
          </w:p>
        </w:tc>
        <w:tc>
          <w:tcPr>
            <w:tcW w:w="1876" w:type="dxa"/>
          </w:tcPr>
          <w:p w14:paraId="1732C6F0"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I Sem. 2025</w:t>
            </w:r>
          </w:p>
        </w:tc>
        <w:tc>
          <w:tcPr>
            <w:tcW w:w="2417" w:type="dxa"/>
          </w:tcPr>
          <w:p w14:paraId="1206A807"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24 / 35 *100</w:t>
            </w:r>
          </w:p>
        </w:tc>
        <w:tc>
          <w:tcPr>
            <w:tcW w:w="2565" w:type="dxa"/>
          </w:tcPr>
          <w:p w14:paraId="2468C8EB"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68,57%</w:t>
            </w:r>
          </w:p>
        </w:tc>
      </w:tr>
      <w:tr w:rsidR="009F762E" w:rsidRPr="00242DFB" w14:paraId="0824A297" w14:textId="77777777" w:rsidTr="0051018D">
        <w:trPr>
          <w:cantSplit/>
          <w:trHeight w:val="278"/>
          <w:jc w:val="center"/>
        </w:trPr>
        <w:tc>
          <w:tcPr>
            <w:tcW w:w="2837" w:type="dxa"/>
            <w:vMerge/>
          </w:tcPr>
          <w:p w14:paraId="47CD407D" w14:textId="77777777" w:rsidR="009F762E" w:rsidRPr="00242DFB" w:rsidRDefault="009F762E" w:rsidP="002A0E52">
            <w:pPr>
              <w:spacing w:line="360" w:lineRule="auto"/>
              <w:rPr>
                <w:rFonts w:ascii="Arial" w:hAnsi="Arial" w:cs="Arial"/>
                <w:color w:val="000000" w:themeColor="text1"/>
              </w:rPr>
            </w:pPr>
          </w:p>
        </w:tc>
        <w:tc>
          <w:tcPr>
            <w:tcW w:w="1876" w:type="dxa"/>
          </w:tcPr>
          <w:p w14:paraId="282FCE22"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II Sem. 2025</w:t>
            </w:r>
          </w:p>
        </w:tc>
        <w:tc>
          <w:tcPr>
            <w:tcW w:w="2417" w:type="dxa"/>
          </w:tcPr>
          <w:p w14:paraId="4D03B635"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47 / 52 *100</w:t>
            </w:r>
          </w:p>
        </w:tc>
        <w:tc>
          <w:tcPr>
            <w:tcW w:w="2565" w:type="dxa"/>
          </w:tcPr>
          <w:p w14:paraId="2271F083"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90,38%</w:t>
            </w:r>
          </w:p>
        </w:tc>
      </w:tr>
      <w:tr w:rsidR="009F762E" w:rsidRPr="00242DFB" w14:paraId="6A8DA90A" w14:textId="77777777" w:rsidTr="0051018D">
        <w:trPr>
          <w:cantSplit/>
          <w:trHeight w:val="278"/>
          <w:jc w:val="center"/>
        </w:trPr>
        <w:tc>
          <w:tcPr>
            <w:tcW w:w="2837" w:type="dxa"/>
          </w:tcPr>
          <w:p w14:paraId="007E3BE6"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TOTAL</w:t>
            </w:r>
          </w:p>
        </w:tc>
        <w:tc>
          <w:tcPr>
            <w:tcW w:w="1876" w:type="dxa"/>
          </w:tcPr>
          <w:p w14:paraId="05CC8D26"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 xml:space="preserve"> </w:t>
            </w:r>
          </w:p>
        </w:tc>
        <w:tc>
          <w:tcPr>
            <w:tcW w:w="2417" w:type="dxa"/>
          </w:tcPr>
          <w:p w14:paraId="134F8CD4"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 xml:space="preserve">71 / 87 *100 </w:t>
            </w:r>
          </w:p>
        </w:tc>
        <w:tc>
          <w:tcPr>
            <w:tcW w:w="2565" w:type="dxa"/>
          </w:tcPr>
          <w:p w14:paraId="6DDA4B75"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81,60%</w:t>
            </w:r>
          </w:p>
        </w:tc>
      </w:tr>
      <w:tr w:rsidR="009F762E" w:rsidRPr="00242DFB" w14:paraId="1E1B5B53" w14:textId="77777777" w:rsidTr="0051018D">
        <w:trPr>
          <w:cantSplit/>
          <w:trHeight w:val="278"/>
          <w:jc w:val="center"/>
        </w:trPr>
        <w:tc>
          <w:tcPr>
            <w:tcW w:w="2837" w:type="dxa"/>
            <w:vMerge w:val="restart"/>
          </w:tcPr>
          <w:p w14:paraId="579AD972"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Total, PQRS determinadas como de Riesgo Priorizado * 100</w:t>
            </w:r>
          </w:p>
        </w:tc>
        <w:tc>
          <w:tcPr>
            <w:tcW w:w="1876" w:type="dxa"/>
          </w:tcPr>
          <w:p w14:paraId="6A94CB12"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I Sem. 2025</w:t>
            </w:r>
          </w:p>
        </w:tc>
        <w:tc>
          <w:tcPr>
            <w:tcW w:w="2417" w:type="dxa"/>
          </w:tcPr>
          <w:p w14:paraId="693F5784"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8.619 / 8.879 *100</w:t>
            </w:r>
          </w:p>
        </w:tc>
        <w:tc>
          <w:tcPr>
            <w:tcW w:w="2565" w:type="dxa"/>
          </w:tcPr>
          <w:p w14:paraId="3E0D44F6"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97,07%</w:t>
            </w:r>
          </w:p>
        </w:tc>
      </w:tr>
      <w:tr w:rsidR="009F762E" w:rsidRPr="00242DFB" w14:paraId="3DCFB8FB" w14:textId="77777777" w:rsidTr="0051018D">
        <w:trPr>
          <w:cantSplit/>
          <w:trHeight w:val="278"/>
          <w:jc w:val="center"/>
        </w:trPr>
        <w:tc>
          <w:tcPr>
            <w:tcW w:w="2837" w:type="dxa"/>
            <w:vMerge/>
          </w:tcPr>
          <w:p w14:paraId="1A8B3D58" w14:textId="77777777" w:rsidR="009F762E" w:rsidRPr="00242DFB" w:rsidRDefault="009F762E" w:rsidP="002A0E52">
            <w:pPr>
              <w:spacing w:line="360" w:lineRule="auto"/>
              <w:rPr>
                <w:rFonts w:ascii="Arial" w:hAnsi="Arial" w:cs="Arial"/>
                <w:color w:val="000000" w:themeColor="text1"/>
              </w:rPr>
            </w:pPr>
          </w:p>
        </w:tc>
        <w:tc>
          <w:tcPr>
            <w:tcW w:w="1876" w:type="dxa"/>
          </w:tcPr>
          <w:p w14:paraId="6ABD29AA"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II Sem. 2025</w:t>
            </w:r>
          </w:p>
        </w:tc>
        <w:tc>
          <w:tcPr>
            <w:tcW w:w="2417" w:type="dxa"/>
          </w:tcPr>
          <w:p w14:paraId="75F450A5"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6.296 / 6.371 *100</w:t>
            </w:r>
          </w:p>
        </w:tc>
        <w:tc>
          <w:tcPr>
            <w:tcW w:w="2565" w:type="dxa"/>
          </w:tcPr>
          <w:p w14:paraId="38C6CDBE"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98,82%</w:t>
            </w:r>
          </w:p>
        </w:tc>
      </w:tr>
      <w:tr w:rsidR="009F762E" w:rsidRPr="00242DFB" w14:paraId="18FE202F" w14:textId="77777777" w:rsidTr="0051018D">
        <w:trPr>
          <w:cantSplit/>
          <w:trHeight w:val="278"/>
          <w:jc w:val="center"/>
        </w:trPr>
        <w:tc>
          <w:tcPr>
            <w:tcW w:w="2837" w:type="dxa"/>
          </w:tcPr>
          <w:p w14:paraId="64F84F8C"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TOTAL</w:t>
            </w:r>
          </w:p>
        </w:tc>
        <w:tc>
          <w:tcPr>
            <w:tcW w:w="1876" w:type="dxa"/>
          </w:tcPr>
          <w:p w14:paraId="251089F3"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 xml:space="preserve"> </w:t>
            </w:r>
          </w:p>
        </w:tc>
        <w:tc>
          <w:tcPr>
            <w:tcW w:w="2417" w:type="dxa"/>
          </w:tcPr>
          <w:p w14:paraId="0688EBD3"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14.915 / 15.250 *100</w:t>
            </w:r>
          </w:p>
        </w:tc>
        <w:tc>
          <w:tcPr>
            <w:tcW w:w="2565" w:type="dxa"/>
          </w:tcPr>
          <w:p w14:paraId="4DCBA823"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97,80%</w:t>
            </w:r>
          </w:p>
        </w:tc>
      </w:tr>
      <w:tr w:rsidR="009F762E" w:rsidRPr="00242DFB" w14:paraId="650FF1CD" w14:textId="77777777" w:rsidTr="0051018D">
        <w:trPr>
          <w:cantSplit/>
          <w:trHeight w:val="278"/>
          <w:jc w:val="center"/>
        </w:trPr>
        <w:tc>
          <w:tcPr>
            <w:tcW w:w="2837" w:type="dxa"/>
            <w:vMerge w:val="restart"/>
          </w:tcPr>
          <w:p w14:paraId="682559E7"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Total, PQRS determinadas como de Riesgo Simple * 100</w:t>
            </w:r>
          </w:p>
        </w:tc>
        <w:tc>
          <w:tcPr>
            <w:tcW w:w="1876" w:type="dxa"/>
          </w:tcPr>
          <w:p w14:paraId="7BF6E0E9"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I Sem. 2025</w:t>
            </w:r>
          </w:p>
        </w:tc>
        <w:tc>
          <w:tcPr>
            <w:tcW w:w="2417" w:type="dxa"/>
          </w:tcPr>
          <w:p w14:paraId="491F3D5C"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18.047 / 19.898 *100</w:t>
            </w:r>
          </w:p>
        </w:tc>
        <w:tc>
          <w:tcPr>
            <w:tcW w:w="2565" w:type="dxa"/>
          </w:tcPr>
          <w:p w14:paraId="4E81CFDB"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90,69%</w:t>
            </w:r>
          </w:p>
        </w:tc>
      </w:tr>
      <w:tr w:rsidR="009F762E" w:rsidRPr="00242DFB" w14:paraId="63297233" w14:textId="77777777" w:rsidTr="0051018D">
        <w:trPr>
          <w:cantSplit/>
          <w:trHeight w:val="278"/>
          <w:jc w:val="center"/>
        </w:trPr>
        <w:tc>
          <w:tcPr>
            <w:tcW w:w="2837" w:type="dxa"/>
            <w:vMerge/>
          </w:tcPr>
          <w:p w14:paraId="2FBC3F3C" w14:textId="77777777" w:rsidR="009F762E" w:rsidRPr="00242DFB" w:rsidRDefault="009F762E" w:rsidP="002A0E52">
            <w:pPr>
              <w:spacing w:line="360" w:lineRule="auto"/>
              <w:rPr>
                <w:rFonts w:ascii="Arial" w:hAnsi="Arial" w:cs="Arial"/>
                <w:color w:val="000000" w:themeColor="text1"/>
              </w:rPr>
            </w:pPr>
          </w:p>
        </w:tc>
        <w:tc>
          <w:tcPr>
            <w:tcW w:w="1876" w:type="dxa"/>
          </w:tcPr>
          <w:p w14:paraId="63D29AA4"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II Sem. 2025</w:t>
            </w:r>
          </w:p>
        </w:tc>
        <w:tc>
          <w:tcPr>
            <w:tcW w:w="2417" w:type="dxa"/>
          </w:tcPr>
          <w:p w14:paraId="2183681C"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19.866 / 20.994 *100</w:t>
            </w:r>
          </w:p>
        </w:tc>
        <w:tc>
          <w:tcPr>
            <w:tcW w:w="2565" w:type="dxa"/>
          </w:tcPr>
          <w:p w14:paraId="493DCE8A"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94,62%</w:t>
            </w:r>
          </w:p>
        </w:tc>
      </w:tr>
      <w:tr w:rsidR="009F762E" w:rsidRPr="00242DFB" w14:paraId="7FC36142" w14:textId="77777777" w:rsidTr="0051018D">
        <w:trPr>
          <w:cantSplit/>
          <w:trHeight w:val="278"/>
          <w:jc w:val="center"/>
        </w:trPr>
        <w:tc>
          <w:tcPr>
            <w:tcW w:w="2837" w:type="dxa"/>
          </w:tcPr>
          <w:p w14:paraId="480F0836"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TOTAL</w:t>
            </w:r>
          </w:p>
        </w:tc>
        <w:tc>
          <w:tcPr>
            <w:tcW w:w="1876" w:type="dxa"/>
          </w:tcPr>
          <w:p w14:paraId="03BAD8DC"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 xml:space="preserve"> </w:t>
            </w:r>
          </w:p>
        </w:tc>
        <w:tc>
          <w:tcPr>
            <w:tcW w:w="2417" w:type="dxa"/>
          </w:tcPr>
          <w:p w14:paraId="321E3036"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37.913 / 40.892 *100</w:t>
            </w:r>
          </w:p>
        </w:tc>
        <w:tc>
          <w:tcPr>
            <w:tcW w:w="2565" w:type="dxa"/>
          </w:tcPr>
          <w:p w14:paraId="4B2C5B9D"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92,71%</w:t>
            </w:r>
          </w:p>
        </w:tc>
      </w:tr>
      <w:tr w:rsidR="009F762E" w:rsidRPr="00242DFB" w14:paraId="731A60D3" w14:textId="77777777" w:rsidTr="0051018D">
        <w:trPr>
          <w:cantSplit/>
          <w:trHeight w:val="278"/>
          <w:jc w:val="center"/>
        </w:trPr>
        <w:tc>
          <w:tcPr>
            <w:tcW w:w="2837" w:type="dxa"/>
            <w:vMerge w:val="restart"/>
          </w:tcPr>
          <w:p w14:paraId="05772F45"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Total, PQRS determinadas como Generales (15 días) * 100</w:t>
            </w:r>
          </w:p>
        </w:tc>
        <w:tc>
          <w:tcPr>
            <w:tcW w:w="1876" w:type="dxa"/>
          </w:tcPr>
          <w:p w14:paraId="485D1B25"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I Sem. 2025</w:t>
            </w:r>
          </w:p>
        </w:tc>
        <w:tc>
          <w:tcPr>
            <w:tcW w:w="2417" w:type="dxa"/>
          </w:tcPr>
          <w:p w14:paraId="36E7334F"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6.164 / 11.818 *100</w:t>
            </w:r>
          </w:p>
        </w:tc>
        <w:tc>
          <w:tcPr>
            <w:tcW w:w="2565" w:type="dxa"/>
          </w:tcPr>
          <w:p w14:paraId="5EA82182"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52,15%</w:t>
            </w:r>
          </w:p>
        </w:tc>
      </w:tr>
      <w:tr w:rsidR="009F762E" w:rsidRPr="00242DFB" w14:paraId="138A3784" w14:textId="77777777" w:rsidTr="0051018D">
        <w:trPr>
          <w:cantSplit/>
          <w:trHeight w:val="265"/>
          <w:jc w:val="center"/>
        </w:trPr>
        <w:tc>
          <w:tcPr>
            <w:tcW w:w="2837" w:type="dxa"/>
            <w:vMerge/>
          </w:tcPr>
          <w:p w14:paraId="56016E5F" w14:textId="77777777" w:rsidR="009F762E" w:rsidRPr="00242DFB" w:rsidRDefault="009F762E" w:rsidP="002A0E52">
            <w:pPr>
              <w:spacing w:line="360" w:lineRule="auto"/>
              <w:rPr>
                <w:rFonts w:ascii="Arial" w:hAnsi="Arial" w:cs="Arial"/>
                <w:color w:val="000000" w:themeColor="text1"/>
              </w:rPr>
            </w:pPr>
          </w:p>
        </w:tc>
        <w:tc>
          <w:tcPr>
            <w:tcW w:w="1876" w:type="dxa"/>
          </w:tcPr>
          <w:p w14:paraId="0FF405C3"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II Sem. 2025</w:t>
            </w:r>
          </w:p>
        </w:tc>
        <w:tc>
          <w:tcPr>
            <w:tcW w:w="2417" w:type="dxa"/>
          </w:tcPr>
          <w:p w14:paraId="1F8DB5C0"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6.521 / 12.521*100</w:t>
            </w:r>
          </w:p>
        </w:tc>
        <w:tc>
          <w:tcPr>
            <w:tcW w:w="2565" w:type="dxa"/>
          </w:tcPr>
          <w:p w14:paraId="1A824B2A"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52,08%</w:t>
            </w:r>
          </w:p>
        </w:tc>
      </w:tr>
      <w:tr w:rsidR="009F762E" w:rsidRPr="00242DFB" w14:paraId="324D7AD1" w14:textId="77777777" w:rsidTr="0051018D">
        <w:trPr>
          <w:cantSplit/>
          <w:trHeight w:val="278"/>
          <w:jc w:val="center"/>
        </w:trPr>
        <w:tc>
          <w:tcPr>
            <w:tcW w:w="2837" w:type="dxa"/>
          </w:tcPr>
          <w:p w14:paraId="388091B4"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TOTAL</w:t>
            </w:r>
          </w:p>
        </w:tc>
        <w:tc>
          <w:tcPr>
            <w:tcW w:w="1876" w:type="dxa"/>
          </w:tcPr>
          <w:p w14:paraId="37627C8F"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 xml:space="preserve"> </w:t>
            </w:r>
          </w:p>
        </w:tc>
        <w:tc>
          <w:tcPr>
            <w:tcW w:w="2417" w:type="dxa"/>
          </w:tcPr>
          <w:p w14:paraId="58514F71"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12.685 / 24.339 *100</w:t>
            </w:r>
          </w:p>
        </w:tc>
        <w:tc>
          <w:tcPr>
            <w:tcW w:w="2565" w:type="dxa"/>
          </w:tcPr>
          <w:p w14:paraId="4261858E" w14:textId="77777777" w:rsidR="009F762E" w:rsidRPr="00242DFB" w:rsidRDefault="00000000" w:rsidP="002A0E52">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52,11%</w:t>
            </w:r>
          </w:p>
        </w:tc>
      </w:tr>
    </w:tbl>
    <w:p w14:paraId="616D82C9" w14:textId="77777777" w:rsidR="009F762E" w:rsidRPr="00242DFB" w:rsidRDefault="00000000" w:rsidP="002A0E52">
      <w:pPr>
        <w:spacing w:line="360" w:lineRule="auto"/>
        <w:rPr>
          <w:rFonts w:ascii="Arial" w:eastAsia="Arial" w:hAnsi="Arial" w:cs="Arial"/>
          <w:color w:val="000000" w:themeColor="text1"/>
          <w:sz w:val="16"/>
          <w:szCs w:val="16"/>
        </w:rPr>
      </w:pPr>
      <w:r w:rsidRPr="00242DFB">
        <w:rPr>
          <w:rFonts w:ascii="Arial" w:hAnsi="Arial" w:cs="Arial"/>
          <w:color w:val="000000"/>
          <w:sz w:val="16"/>
          <w:szCs w:val="16"/>
        </w:rPr>
        <w:t>Fuente: Acta de Auditoría IVS Capital Salud EPS-S II Sem. 2024 – I Sem. 2025- Subcomponente Gestión Efectiva de PQRS - II Sem 2025 Información reportada por la Entidad base de datos del aplicativo Ágil Salud de Capital Salud EPS-S</w:t>
      </w:r>
    </w:p>
    <w:p w14:paraId="304FB671" w14:textId="77777777" w:rsidR="009F762E" w:rsidRPr="00242DFB" w:rsidRDefault="009F762E" w:rsidP="002A0E52">
      <w:pPr>
        <w:spacing w:line="360" w:lineRule="auto"/>
        <w:rPr>
          <w:rFonts w:ascii="Arial" w:eastAsia="Arial" w:hAnsi="Arial" w:cs="Arial"/>
          <w:color w:val="000000" w:themeColor="text1"/>
        </w:rPr>
      </w:pPr>
    </w:p>
    <w:p w14:paraId="44BDEE62" w14:textId="77777777" w:rsidR="0081376D" w:rsidRPr="00242DFB" w:rsidRDefault="0081376D" w:rsidP="0081376D">
      <w:pPr>
        <w:spacing w:line="360" w:lineRule="auto"/>
        <w:jc w:val="both"/>
        <w:rPr>
          <w:rFonts w:ascii="Arial" w:eastAsia="Arial" w:hAnsi="Arial" w:cs="Arial"/>
          <w:color w:val="000000" w:themeColor="text1"/>
        </w:rPr>
      </w:pPr>
      <w:r w:rsidRPr="0081376D">
        <w:rPr>
          <w:rFonts w:ascii="Arial" w:eastAsia="Arial" w:hAnsi="Arial" w:cs="Arial"/>
          <w:color w:val="000000" w:themeColor="text1"/>
        </w:rPr>
        <w:t>El análisis de los resultados evidencia un nivel crítico de incumplimiento en los tiempos establecidos para la atención y respuesta de las manifestaciones ciudadanas, especialmente en aquellas clasificadas según nivel de riesgo. De las 80.568 PQRS analizadas, se observa que las categorías asociadas a riesgo vital, riesgo priorizado y riesgo simple concentran los mayores porcentajes de respuesta por fuera de los términos normativos, situación que reviste especial relevancia por tratarse de solicitudes que pueden comprometer la continuidad, accesibilidad, oportunidad y calidad de la atención en salud.</w:t>
      </w:r>
    </w:p>
    <w:p w14:paraId="4561C310" w14:textId="77777777" w:rsidR="00E8539F" w:rsidRPr="0081376D" w:rsidRDefault="00E8539F" w:rsidP="0081376D">
      <w:pPr>
        <w:spacing w:line="360" w:lineRule="auto"/>
        <w:jc w:val="both"/>
        <w:rPr>
          <w:rFonts w:ascii="Arial" w:eastAsia="Arial" w:hAnsi="Arial" w:cs="Arial"/>
          <w:color w:val="000000" w:themeColor="text1"/>
        </w:rPr>
      </w:pPr>
    </w:p>
    <w:p w14:paraId="456F085B" w14:textId="77777777" w:rsidR="0081376D" w:rsidRPr="00242DFB" w:rsidRDefault="0081376D" w:rsidP="0081376D">
      <w:pPr>
        <w:spacing w:line="360" w:lineRule="auto"/>
        <w:jc w:val="both"/>
        <w:rPr>
          <w:rFonts w:ascii="Arial" w:eastAsia="Arial" w:hAnsi="Arial" w:cs="Arial"/>
          <w:color w:val="000000" w:themeColor="text1"/>
        </w:rPr>
      </w:pPr>
      <w:r w:rsidRPr="0081376D">
        <w:rPr>
          <w:rFonts w:ascii="Arial" w:eastAsia="Arial" w:hAnsi="Arial" w:cs="Arial"/>
          <w:color w:val="000000" w:themeColor="text1"/>
        </w:rPr>
        <w:t xml:space="preserve">Las PQRS clasificadas como Riesgo Vital registraron un incumplimiento acumulado del 81,60%, con un deterioro entre semestres al pasar de 68,57% en el primer semestre a 90,38% en el segundo semestre de 2025. Este comportamiento evidencia una disminución significativa en la capacidad de respuesta frente a manifestaciones asociadas a situaciones que pueden comprometer de manera inmediata la vida, la integridad o la continuidad de la atención de los usuarios. En consecuencia, la inoportunidad en la gestión de este tipo de requerimientos </w:t>
      </w:r>
      <w:r w:rsidRPr="0081376D">
        <w:rPr>
          <w:rFonts w:ascii="Arial" w:eastAsia="Arial" w:hAnsi="Arial" w:cs="Arial"/>
          <w:color w:val="000000" w:themeColor="text1"/>
        </w:rPr>
        <w:lastRenderedPageBreak/>
        <w:t>constituye un riesgo relevante para la garantía efectiva del acceso oportuno a los servicios de salud.</w:t>
      </w:r>
    </w:p>
    <w:p w14:paraId="58CDFECD" w14:textId="77777777" w:rsidR="00E8539F" w:rsidRPr="0081376D" w:rsidRDefault="00E8539F" w:rsidP="0081376D">
      <w:pPr>
        <w:spacing w:line="360" w:lineRule="auto"/>
        <w:jc w:val="both"/>
        <w:rPr>
          <w:rFonts w:ascii="Arial" w:eastAsia="Arial" w:hAnsi="Arial" w:cs="Arial"/>
          <w:color w:val="000000" w:themeColor="text1"/>
        </w:rPr>
      </w:pPr>
    </w:p>
    <w:p w14:paraId="4FA07455" w14:textId="77777777" w:rsidR="0081376D" w:rsidRPr="00242DFB" w:rsidRDefault="0081376D" w:rsidP="0081376D">
      <w:pPr>
        <w:spacing w:line="360" w:lineRule="auto"/>
        <w:jc w:val="both"/>
        <w:rPr>
          <w:rFonts w:ascii="Arial" w:eastAsia="Arial" w:hAnsi="Arial" w:cs="Arial"/>
          <w:color w:val="000000" w:themeColor="text1"/>
        </w:rPr>
      </w:pPr>
      <w:r w:rsidRPr="0081376D">
        <w:rPr>
          <w:rFonts w:ascii="Arial" w:eastAsia="Arial" w:hAnsi="Arial" w:cs="Arial"/>
          <w:color w:val="000000" w:themeColor="text1"/>
        </w:rPr>
        <w:t>En las manifestaciones clasificadas como Riesgo Priorizado, se identificó el mayor nivel de incumplimiento, con un acumulado del 97,80%, manteniéndose elevado durante los dos semestres evaluados. Este resultado indica que la mayoría de las solicitudes clasificadas en esta categoría fueron gestionadas por fuera de los tiempos establecidos, lo cual evidencia limitaciones importantes en la capacidad institucional para responder oportunamente a requerimientos que, por su naturaleza, demandan atención preferente y gestión resolutiva.</w:t>
      </w:r>
    </w:p>
    <w:p w14:paraId="445F29C4" w14:textId="77777777" w:rsidR="00E8539F" w:rsidRPr="0081376D" w:rsidRDefault="00E8539F" w:rsidP="0081376D">
      <w:pPr>
        <w:spacing w:line="360" w:lineRule="auto"/>
        <w:jc w:val="both"/>
        <w:rPr>
          <w:rFonts w:ascii="Arial" w:eastAsia="Arial" w:hAnsi="Arial" w:cs="Arial"/>
          <w:color w:val="000000" w:themeColor="text1"/>
        </w:rPr>
      </w:pPr>
    </w:p>
    <w:p w14:paraId="599BC296" w14:textId="77777777" w:rsidR="0081376D" w:rsidRPr="00242DFB" w:rsidRDefault="0081376D" w:rsidP="0081376D">
      <w:pPr>
        <w:spacing w:line="360" w:lineRule="auto"/>
        <w:jc w:val="both"/>
        <w:rPr>
          <w:rFonts w:ascii="Arial" w:eastAsia="Arial" w:hAnsi="Arial" w:cs="Arial"/>
          <w:color w:val="000000" w:themeColor="text1"/>
        </w:rPr>
      </w:pPr>
      <w:r w:rsidRPr="0081376D">
        <w:rPr>
          <w:rFonts w:ascii="Arial" w:eastAsia="Arial" w:hAnsi="Arial" w:cs="Arial"/>
          <w:color w:val="000000" w:themeColor="text1"/>
        </w:rPr>
        <w:t>Respecto a las PQRS de Riesgo Simple, el incumplimiento acumulado fue del 92,71%, con incremento entre semestres al pasar de 90,69% a 94,62%. Aunque estas manifestaciones presentan un menor nivel de criticidad frente a las categorías anteriores, su alto volumen —40.892 casos— convierte esta categoría en uno de los principales determinantes del comportamiento global del indicador y en una fuente relevante de presión sobre los canales de atención y gestión de la EPS.</w:t>
      </w:r>
    </w:p>
    <w:p w14:paraId="446FE253" w14:textId="77777777" w:rsidR="00E8539F" w:rsidRPr="0081376D" w:rsidRDefault="00E8539F" w:rsidP="0081376D">
      <w:pPr>
        <w:spacing w:line="360" w:lineRule="auto"/>
        <w:jc w:val="both"/>
        <w:rPr>
          <w:rFonts w:ascii="Arial" w:eastAsia="Arial" w:hAnsi="Arial" w:cs="Arial"/>
          <w:color w:val="000000" w:themeColor="text1"/>
        </w:rPr>
      </w:pPr>
    </w:p>
    <w:p w14:paraId="4784C8F0" w14:textId="77777777" w:rsidR="0081376D" w:rsidRPr="00242DFB" w:rsidRDefault="0081376D" w:rsidP="0081376D">
      <w:pPr>
        <w:spacing w:line="360" w:lineRule="auto"/>
        <w:jc w:val="both"/>
        <w:rPr>
          <w:rFonts w:ascii="Arial" w:eastAsia="Arial" w:hAnsi="Arial" w:cs="Arial"/>
          <w:color w:val="000000" w:themeColor="text1"/>
        </w:rPr>
      </w:pPr>
      <w:r w:rsidRPr="0081376D">
        <w:rPr>
          <w:rFonts w:ascii="Arial" w:eastAsia="Arial" w:hAnsi="Arial" w:cs="Arial"/>
          <w:color w:val="000000" w:themeColor="text1"/>
        </w:rPr>
        <w:t>Por su parte, las PQRS Generales presentaron un incumplimiento acumulado del 52,11%. Si bien este porcentaje es inferior al observado en las categorías de riesgo, continúa siendo significativo, en tanto evidencia que más de la mitad de estas manifestaciones fueron respondidas por fuera de los términos establecidos. Este comportamiento refleja dificultades transversales en la gestión oportuna de las solicitudes ciudadanas, incluso en aquellas que cuentan con plazos de respuesta más amplios.</w:t>
      </w:r>
    </w:p>
    <w:p w14:paraId="27162284" w14:textId="77777777" w:rsidR="00E8539F" w:rsidRPr="0081376D" w:rsidRDefault="00E8539F" w:rsidP="0081376D">
      <w:pPr>
        <w:spacing w:line="360" w:lineRule="auto"/>
        <w:jc w:val="both"/>
        <w:rPr>
          <w:rFonts w:ascii="Arial" w:eastAsia="Arial" w:hAnsi="Arial" w:cs="Arial"/>
          <w:color w:val="000000" w:themeColor="text1"/>
        </w:rPr>
      </w:pPr>
    </w:p>
    <w:p w14:paraId="4C1D6DDD" w14:textId="77777777" w:rsidR="0081376D" w:rsidRPr="00242DFB" w:rsidRDefault="0081376D" w:rsidP="0081376D">
      <w:pPr>
        <w:spacing w:line="360" w:lineRule="auto"/>
        <w:jc w:val="both"/>
        <w:rPr>
          <w:rFonts w:ascii="Arial" w:eastAsia="Arial" w:hAnsi="Arial" w:cs="Arial"/>
          <w:color w:val="000000" w:themeColor="text1"/>
        </w:rPr>
      </w:pPr>
      <w:r w:rsidRPr="0081376D">
        <w:rPr>
          <w:rFonts w:ascii="Arial" w:eastAsia="Arial" w:hAnsi="Arial" w:cs="Arial"/>
          <w:color w:val="000000" w:themeColor="text1"/>
        </w:rPr>
        <w:t xml:space="preserve">En conjunto, los resultados muestran dificultades estructurales para garantizar respuestas dentro de los tiempos definidos por la normatividad vigente, particularmente en aquellas manifestaciones con términos reducidos de atención, entre 24 y 72 horas. Aunque el proceso de gestión de PQRS dispone de una estructura para la recepción, clasificación, seguimiento y respuesta de las </w:t>
      </w:r>
      <w:r w:rsidRPr="0081376D">
        <w:rPr>
          <w:rFonts w:ascii="Arial" w:eastAsia="Arial" w:hAnsi="Arial" w:cs="Arial"/>
          <w:color w:val="000000" w:themeColor="text1"/>
        </w:rPr>
        <w:lastRenderedPageBreak/>
        <w:t>manifestaciones, la oportunidad del trámite se ve afectada por factores asociados a la articulación con la red prestadora, la disponibilidad de información, la generación de soportes y los tiempos requeridos para emitir respuestas completas, claras y resolutivas.</w:t>
      </w:r>
    </w:p>
    <w:p w14:paraId="330A708F" w14:textId="77777777" w:rsidR="00E8539F" w:rsidRPr="0081376D" w:rsidRDefault="00E8539F" w:rsidP="0081376D">
      <w:pPr>
        <w:spacing w:line="360" w:lineRule="auto"/>
        <w:jc w:val="both"/>
        <w:rPr>
          <w:rFonts w:ascii="Arial" w:eastAsia="Arial" w:hAnsi="Arial" w:cs="Arial"/>
          <w:color w:val="000000" w:themeColor="text1"/>
        </w:rPr>
      </w:pPr>
    </w:p>
    <w:p w14:paraId="200C867D" w14:textId="77777777" w:rsidR="0081376D" w:rsidRPr="00242DFB" w:rsidRDefault="0081376D" w:rsidP="0081376D">
      <w:pPr>
        <w:spacing w:line="360" w:lineRule="auto"/>
        <w:jc w:val="both"/>
        <w:rPr>
          <w:rFonts w:ascii="Arial" w:eastAsia="Arial" w:hAnsi="Arial" w:cs="Arial"/>
          <w:color w:val="000000" w:themeColor="text1"/>
        </w:rPr>
      </w:pPr>
      <w:r w:rsidRPr="0081376D">
        <w:rPr>
          <w:rFonts w:ascii="Arial" w:eastAsia="Arial" w:hAnsi="Arial" w:cs="Arial"/>
          <w:color w:val="000000" w:themeColor="text1"/>
        </w:rPr>
        <w:t>En este contexto, los elevados porcentajes de incumplimiento, especialmente en las categorías de mayor riesgo, sugieren que las demoras en la retroalimentación por parte de los prestadores y en la gestión interna de la EPS impactan directamente la capacidad de respuesta institucional. Esta situación resulta particularmente sensible en manifestaciones relacionadas con acceso a servicios, autorizaciones, asignación de citas, entrega de tecnologías en salud y continuidad de la atención.</w:t>
      </w:r>
    </w:p>
    <w:p w14:paraId="61BDB813" w14:textId="77777777" w:rsidR="00E8539F" w:rsidRPr="0081376D" w:rsidRDefault="00E8539F" w:rsidP="0081376D">
      <w:pPr>
        <w:spacing w:line="360" w:lineRule="auto"/>
        <w:jc w:val="both"/>
        <w:rPr>
          <w:rFonts w:ascii="Arial" w:eastAsia="Arial" w:hAnsi="Arial" w:cs="Arial"/>
          <w:color w:val="000000" w:themeColor="text1"/>
        </w:rPr>
      </w:pPr>
    </w:p>
    <w:p w14:paraId="1B901CAA" w14:textId="77777777" w:rsidR="0081376D" w:rsidRPr="0081376D" w:rsidRDefault="0081376D" w:rsidP="0081376D">
      <w:pPr>
        <w:spacing w:line="360" w:lineRule="auto"/>
        <w:jc w:val="both"/>
        <w:rPr>
          <w:rFonts w:ascii="Arial" w:eastAsia="Arial" w:hAnsi="Arial" w:cs="Arial"/>
          <w:color w:val="000000" w:themeColor="text1"/>
        </w:rPr>
      </w:pPr>
      <w:r w:rsidRPr="0081376D">
        <w:rPr>
          <w:rFonts w:ascii="Arial" w:eastAsia="Arial" w:hAnsi="Arial" w:cs="Arial"/>
          <w:color w:val="000000" w:themeColor="text1"/>
        </w:rPr>
        <w:t>La persistencia de respuestas fuera de los tiempos establecidos puede afectar negativamente la experiencia del usuario, prolongar barreras de acceso, incrementar la reiteración de reclamaciones por los mismos hechos y generar mayor presión sobre los canales institucionales de atención. Asimismo, la falta de oportunidad en la gestión puede favorecer el uso de mecanismos alternativos de reclamación, como acciones de tutela, quejas ante entes de control o nuevas solicitudes ante la Secretaría Distrital de Salud y la Superintendencia Nacional de Salud.</w:t>
      </w:r>
    </w:p>
    <w:p w14:paraId="168FBF2B" w14:textId="77777777" w:rsidR="0081376D" w:rsidRPr="00242DFB" w:rsidRDefault="0081376D" w:rsidP="0081376D">
      <w:pPr>
        <w:spacing w:line="360" w:lineRule="auto"/>
        <w:jc w:val="both"/>
        <w:rPr>
          <w:rFonts w:ascii="Arial" w:eastAsia="Arial" w:hAnsi="Arial" w:cs="Arial"/>
          <w:color w:val="000000" w:themeColor="text1"/>
        </w:rPr>
      </w:pPr>
    </w:p>
    <w:p w14:paraId="02A86287" w14:textId="2282FF7A" w:rsidR="0081376D" w:rsidRPr="0081376D" w:rsidRDefault="0081376D" w:rsidP="0081376D">
      <w:pPr>
        <w:spacing w:line="360" w:lineRule="auto"/>
        <w:jc w:val="both"/>
        <w:rPr>
          <w:rFonts w:ascii="Arial" w:eastAsia="Arial" w:hAnsi="Arial" w:cs="Arial"/>
          <w:color w:val="000000" w:themeColor="text1"/>
        </w:rPr>
      </w:pPr>
      <w:r w:rsidRPr="0081376D">
        <w:rPr>
          <w:rFonts w:ascii="Arial" w:eastAsia="Arial" w:hAnsi="Arial" w:cs="Arial"/>
          <w:color w:val="000000" w:themeColor="text1"/>
        </w:rPr>
        <w:t>Esta situación dio lugar a un hallazgo en la auditoría de Inspección, Vigilancia y Seguimiento realizada entre el 28 de julio y el 1 de agosto, en la cual se evaluó el periodo correspondiente al segundo semestre de 2024 y primer semestre de 2025. En dicha actuación se evidenció que no se garantizó el trámite oportuno de las PQRS conforme a los plazos normativos establecidos, configurando una alerta relevante frente a la capacidad de respuesta institucional y a la garantía efectiva del derecho fundamental a la salud.</w:t>
      </w:r>
    </w:p>
    <w:p w14:paraId="46E1F88C" w14:textId="77777777" w:rsidR="009F762E" w:rsidRPr="00242DFB" w:rsidRDefault="009F762E" w:rsidP="002A0E52">
      <w:pPr>
        <w:spacing w:line="360" w:lineRule="auto"/>
        <w:rPr>
          <w:rFonts w:ascii="Arial" w:eastAsia="Arial" w:hAnsi="Arial" w:cs="Arial"/>
          <w:color w:val="000000" w:themeColor="text1"/>
        </w:rPr>
      </w:pPr>
    </w:p>
    <w:p w14:paraId="6608FA55" w14:textId="77777777" w:rsidR="009F762E" w:rsidRPr="00242DFB" w:rsidRDefault="00000000" w:rsidP="002A0E52">
      <w:pPr>
        <w:pStyle w:val="Ttulo2"/>
        <w:numPr>
          <w:ilvl w:val="1"/>
          <w:numId w:val="7"/>
        </w:numPr>
        <w:spacing w:before="0" w:line="360" w:lineRule="auto"/>
        <w:jc w:val="both"/>
        <w:rPr>
          <w:rFonts w:ascii="Arial" w:eastAsia="Arial" w:hAnsi="Arial" w:cs="Arial"/>
          <w:b/>
          <w:bCs/>
          <w:color w:val="000000" w:themeColor="text1"/>
          <w:sz w:val="24"/>
          <w:szCs w:val="24"/>
        </w:rPr>
      </w:pPr>
      <w:bookmarkStart w:id="22" w:name="__RefHeading___Toc8586_542869190"/>
      <w:bookmarkStart w:id="23" w:name="_Toc230853768"/>
      <w:bookmarkEnd w:id="22"/>
      <w:r w:rsidRPr="00242DFB">
        <w:rPr>
          <w:rFonts w:ascii="Arial" w:eastAsia="Arial" w:hAnsi="Arial" w:cs="Arial"/>
          <w:b/>
          <w:bCs/>
          <w:color w:val="000000"/>
          <w:sz w:val="24"/>
          <w:szCs w:val="24"/>
        </w:rPr>
        <w:t>Principales barreras de acceso identificadas</w:t>
      </w:r>
      <w:bookmarkEnd w:id="23"/>
    </w:p>
    <w:p w14:paraId="0178892B" w14:textId="77777777" w:rsidR="009F762E" w:rsidRPr="00242DFB" w:rsidRDefault="009F762E" w:rsidP="002A0E52">
      <w:pPr>
        <w:spacing w:line="360" w:lineRule="auto"/>
        <w:rPr>
          <w:rFonts w:ascii="Arial" w:hAnsi="Arial" w:cs="Arial"/>
          <w:color w:val="000000" w:themeColor="text1"/>
        </w:rPr>
      </w:pPr>
    </w:p>
    <w:p w14:paraId="0832D485"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lastRenderedPageBreak/>
        <w:t>Con el propósito de identificar y priorizar las principales causas de inconformidad manifestadas por los usuarios, a continuación, se presentan los principales motivos de las Peticiones, Quejas, Reclamos, Sugerencias y Denuncias (PQRS) registradas durante la vigencia evaluada. La información se organiza según el número total de PQRS y su porcentaje de participación, lo cual permite dimensionar la frecuencia relativa de cada motivo y facilitar la comprensión del impacto que estas situaciones tienen sobre el acceso, la oportunidad y la continuidad de la atención en salud.</w:t>
      </w:r>
    </w:p>
    <w:p w14:paraId="210FB801"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 </w:t>
      </w:r>
    </w:p>
    <w:p w14:paraId="7312BA7E"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Este análisis permite evidenciar las barreras más recurrentes que afectan la satisfacción del usuario y orientar la adopción de acciones correctivas enfocadas en la mejora de la prestación de los servicios de salud y en la garantía del derecho fundamental a la salud como servicio público esencial.</w:t>
      </w:r>
    </w:p>
    <w:p w14:paraId="1FFBB018" w14:textId="2790A746" w:rsidR="009F762E" w:rsidRPr="00242DFB" w:rsidRDefault="009F762E" w:rsidP="009C18FE">
      <w:pPr>
        <w:spacing w:line="360" w:lineRule="auto"/>
        <w:jc w:val="center"/>
        <w:rPr>
          <w:rFonts w:ascii="Arial" w:eastAsia="Arial" w:hAnsi="Arial" w:cs="Arial"/>
          <w:b/>
          <w:bCs/>
          <w:color w:val="000000" w:themeColor="text1"/>
        </w:rPr>
      </w:pPr>
    </w:p>
    <w:p w14:paraId="5063E6BB" w14:textId="0D563A8B" w:rsidR="009C18FE" w:rsidRPr="00242DFB" w:rsidRDefault="009C18FE" w:rsidP="009C18FE">
      <w:pPr>
        <w:pStyle w:val="Descripcin"/>
        <w:keepNext/>
        <w:jc w:val="center"/>
        <w:rPr>
          <w:rFonts w:ascii="Arial" w:hAnsi="Arial" w:cs="Arial"/>
          <w:color w:val="000000" w:themeColor="text1"/>
          <w:sz w:val="24"/>
          <w:szCs w:val="24"/>
        </w:rPr>
      </w:pPr>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9</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Principales motivos de manifestaciones, Capital Salud EPS-S, 2025</w:t>
      </w:r>
    </w:p>
    <w:tbl>
      <w:tblPr>
        <w:tblStyle w:val="Tablaconcuadrcula"/>
        <w:tblW w:w="0" w:type="auto"/>
        <w:tblLook w:val="04A0" w:firstRow="1" w:lastRow="0" w:firstColumn="1" w:lastColumn="0" w:noHBand="0" w:noVBand="1"/>
      </w:tblPr>
      <w:tblGrid>
        <w:gridCol w:w="5405"/>
        <w:gridCol w:w="1609"/>
        <w:gridCol w:w="1814"/>
      </w:tblGrid>
      <w:tr w:rsidR="002B36F9" w:rsidRPr="002B36F9" w14:paraId="6F9AD268" w14:textId="77777777" w:rsidTr="00D83CAF">
        <w:tc>
          <w:tcPr>
            <w:tcW w:w="0" w:type="auto"/>
            <w:vAlign w:val="center"/>
            <w:hideMark/>
          </w:tcPr>
          <w:p w14:paraId="1B35C939" w14:textId="77777777" w:rsidR="002B36F9" w:rsidRPr="002B36F9" w:rsidRDefault="002B36F9" w:rsidP="002B36F9">
            <w:pPr>
              <w:spacing w:line="360" w:lineRule="auto"/>
              <w:jc w:val="center"/>
              <w:rPr>
                <w:rFonts w:ascii="Arial" w:hAnsi="Arial" w:cs="Arial"/>
                <w:b/>
                <w:bCs/>
                <w:color w:val="000000"/>
                <w:sz w:val="22"/>
                <w:szCs w:val="22"/>
              </w:rPr>
            </w:pPr>
            <w:r w:rsidRPr="002B36F9">
              <w:rPr>
                <w:rFonts w:ascii="Arial" w:hAnsi="Arial" w:cs="Arial"/>
                <w:b/>
                <w:bCs/>
                <w:color w:val="000000"/>
                <w:sz w:val="22"/>
                <w:szCs w:val="22"/>
              </w:rPr>
              <w:t>Motivo</w:t>
            </w:r>
          </w:p>
        </w:tc>
        <w:tc>
          <w:tcPr>
            <w:tcW w:w="0" w:type="auto"/>
            <w:vAlign w:val="center"/>
            <w:hideMark/>
          </w:tcPr>
          <w:p w14:paraId="797555FD" w14:textId="77777777" w:rsidR="002B36F9" w:rsidRPr="002B36F9" w:rsidRDefault="002B36F9" w:rsidP="002B36F9">
            <w:pPr>
              <w:spacing w:line="360" w:lineRule="auto"/>
              <w:jc w:val="center"/>
              <w:rPr>
                <w:rFonts w:ascii="Arial" w:hAnsi="Arial" w:cs="Arial"/>
                <w:b/>
                <w:bCs/>
                <w:color w:val="000000"/>
                <w:sz w:val="22"/>
                <w:szCs w:val="22"/>
              </w:rPr>
            </w:pPr>
            <w:r w:rsidRPr="002B36F9">
              <w:rPr>
                <w:rFonts w:ascii="Arial" w:hAnsi="Arial" w:cs="Arial"/>
                <w:b/>
                <w:bCs/>
                <w:color w:val="000000"/>
                <w:sz w:val="22"/>
                <w:szCs w:val="22"/>
              </w:rPr>
              <w:t>Total de PQRS</w:t>
            </w:r>
          </w:p>
        </w:tc>
        <w:tc>
          <w:tcPr>
            <w:tcW w:w="0" w:type="auto"/>
            <w:vAlign w:val="center"/>
            <w:hideMark/>
          </w:tcPr>
          <w:p w14:paraId="2570B34A" w14:textId="074C9101" w:rsidR="002B36F9" w:rsidRPr="002B36F9" w:rsidRDefault="002B36F9" w:rsidP="002B36F9">
            <w:pPr>
              <w:spacing w:line="360" w:lineRule="auto"/>
              <w:jc w:val="center"/>
              <w:rPr>
                <w:rFonts w:ascii="Arial" w:hAnsi="Arial" w:cs="Arial"/>
                <w:b/>
                <w:bCs/>
                <w:color w:val="000000"/>
                <w:sz w:val="22"/>
                <w:szCs w:val="22"/>
              </w:rPr>
            </w:pPr>
            <w:r w:rsidRPr="002B36F9">
              <w:rPr>
                <w:rFonts w:ascii="Arial" w:hAnsi="Arial" w:cs="Arial"/>
                <w:b/>
                <w:bCs/>
                <w:color w:val="000000"/>
                <w:sz w:val="22"/>
                <w:szCs w:val="22"/>
              </w:rPr>
              <w:t xml:space="preserve">% Participación </w:t>
            </w:r>
          </w:p>
        </w:tc>
      </w:tr>
      <w:tr w:rsidR="002B36F9" w:rsidRPr="002B36F9" w14:paraId="5E4105F9" w14:textId="77777777" w:rsidTr="00D83CAF">
        <w:tc>
          <w:tcPr>
            <w:tcW w:w="0" w:type="auto"/>
            <w:vAlign w:val="center"/>
            <w:hideMark/>
          </w:tcPr>
          <w:p w14:paraId="2186C649" w14:textId="77777777" w:rsidR="002B36F9" w:rsidRPr="002B36F9" w:rsidRDefault="002B36F9" w:rsidP="002B36F9">
            <w:pPr>
              <w:spacing w:line="360" w:lineRule="auto"/>
              <w:jc w:val="both"/>
              <w:rPr>
                <w:rFonts w:ascii="Arial" w:hAnsi="Arial" w:cs="Arial"/>
                <w:color w:val="000000"/>
                <w:sz w:val="22"/>
                <w:szCs w:val="22"/>
              </w:rPr>
            </w:pPr>
            <w:r w:rsidRPr="002B36F9">
              <w:rPr>
                <w:rFonts w:ascii="Arial" w:hAnsi="Arial" w:cs="Arial"/>
                <w:color w:val="000000"/>
                <w:sz w:val="22"/>
                <w:szCs w:val="22"/>
              </w:rPr>
              <w:t>Oportunidad citas red contratada</w:t>
            </w:r>
          </w:p>
        </w:tc>
        <w:tc>
          <w:tcPr>
            <w:tcW w:w="0" w:type="auto"/>
            <w:vAlign w:val="center"/>
            <w:hideMark/>
          </w:tcPr>
          <w:p w14:paraId="4A71A494" w14:textId="77777777" w:rsidR="002B36F9" w:rsidRPr="002B36F9" w:rsidRDefault="002B36F9" w:rsidP="002B36F9">
            <w:pPr>
              <w:spacing w:line="360" w:lineRule="auto"/>
              <w:jc w:val="center"/>
              <w:rPr>
                <w:rFonts w:ascii="Arial" w:hAnsi="Arial" w:cs="Arial"/>
                <w:color w:val="000000"/>
                <w:sz w:val="22"/>
                <w:szCs w:val="22"/>
              </w:rPr>
            </w:pPr>
            <w:r w:rsidRPr="002B36F9">
              <w:rPr>
                <w:rFonts w:ascii="Arial" w:hAnsi="Arial" w:cs="Arial"/>
                <w:color w:val="000000"/>
                <w:sz w:val="22"/>
                <w:szCs w:val="22"/>
              </w:rPr>
              <w:t>53.455</w:t>
            </w:r>
          </w:p>
        </w:tc>
        <w:tc>
          <w:tcPr>
            <w:tcW w:w="0" w:type="auto"/>
            <w:vAlign w:val="center"/>
            <w:hideMark/>
          </w:tcPr>
          <w:p w14:paraId="04C3953D" w14:textId="77777777" w:rsidR="002B36F9" w:rsidRPr="002B36F9" w:rsidRDefault="002B36F9" w:rsidP="002B36F9">
            <w:pPr>
              <w:spacing w:line="360" w:lineRule="auto"/>
              <w:jc w:val="center"/>
              <w:rPr>
                <w:rFonts w:ascii="Arial" w:hAnsi="Arial" w:cs="Arial"/>
                <w:color w:val="000000"/>
                <w:sz w:val="22"/>
                <w:szCs w:val="22"/>
              </w:rPr>
            </w:pPr>
            <w:r w:rsidRPr="002B36F9">
              <w:rPr>
                <w:rFonts w:ascii="Arial" w:hAnsi="Arial" w:cs="Arial"/>
                <w:b/>
                <w:bCs/>
                <w:color w:val="000000"/>
                <w:sz w:val="22"/>
                <w:szCs w:val="22"/>
              </w:rPr>
              <w:t>66,94%</w:t>
            </w:r>
          </w:p>
        </w:tc>
      </w:tr>
      <w:tr w:rsidR="002B36F9" w:rsidRPr="002B36F9" w14:paraId="01218054" w14:textId="77777777" w:rsidTr="00D83CAF">
        <w:tc>
          <w:tcPr>
            <w:tcW w:w="0" w:type="auto"/>
            <w:vAlign w:val="center"/>
            <w:hideMark/>
          </w:tcPr>
          <w:p w14:paraId="7F8EFFDD" w14:textId="77777777" w:rsidR="002B36F9" w:rsidRPr="002B36F9" w:rsidRDefault="002B36F9" w:rsidP="002B36F9">
            <w:pPr>
              <w:spacing w:line="360" w:lineRule="auto"/>
              <w:jc w:val="both"/>
              <w:rPr>
                <w:rFonts w:ascii="Arial" w:hAnsi="Arial" w:cs="Arial"/>
                <w:color w:val="000000"/>
                <w:sz w:val="22"/>
                <w:szCs w:val="22"/>
              </w:rPr>
            </w:pPr>
            <w:r w:rsidRPr="002B36F9">
              <w:rPr>
                <w:rFonts w:ascii="Arial" w:hAnsi="Arial" w:cs="Arial"/>
                <w:color w:val="000000"/>
                <w:sz w:val="22"/>
                <w:szCs w:val="22"/>
              </w:rPr>
              <w:t>No suministro de medicamentos</w:t>
            </w:r>
          </w:p>
        </w:tc>
        <w:tc>
          <w:tcPr>
            <w:tcW w:w="0" w:type="auto"/>
            <w:vAlign w:val="center"/>
            <w:hideMark/>
          </w:tcPr>
          <w:p w14:paraId="2BFABC65" w14:textId="77777777" w:rsidR="002B36F9" w:rsidRPr="002B36F9" w:rsidRDefault="002B36F9" w:rsidP="002B36F9">
            <w:pPr>
              <w:spacing w:line="360" w:lineRule="auto"/>
              <w:jc w:val="center"/>
              <w:rPr>
                <w:rFonts w:ascii="Arial" w:hAnsi="Arial" w:cs="Arial"/>
                <w:color w:val="000000"/>
                <w:sz w:val="22"/>
                <w:szCs w:val="22"/>
              </w:rPr>
            </w:pPr>
            <w:r w:rsidRPr="002B36F9">
              <w:rPr>
                <w:rFonts w:ascii="Arial" w:hAnsi="Arial" w:cs="Arial"/>
                <w:color w:val="000000"/>
                <w:sz w:val="22"/>
                <w:szCs w:val="22"/>
              </w:rPr>
              <w:t>18.574</w:t>
            </w:r>
          </w:p>
        </w:tc>
        <w:tc>
          <w:tcPr>
            <w:tcW w:w="0" w:type="auto"/>
            <w:vAlign w:val="center"/>
            <w:hideMark/>
          </w:tcPr>
          <w:p w14:paraId="4D1A32F3" w14:textId="77777777" w:rsidR="002B36F9" w:rsidRPr="002B36F9" w:rsidRDefault="002B36F9" w:rsidP="002B36F9">
            <w:pPr>
              <w:spacing w:line="360" w:lineRule="auto"/>
              <w:jc w:val="center"/>
              <w:rPr>
                <w:rFonts w:ascii="Arial" w:hAnsi="Arial" w:cs="Arial"/>
                <w:color w:val="000000"/>
                <w:sz w:val="22"/>
                <w:szCs w:val="22"/>
              </w:rPr>
            </w:pPr>
            <w:r w:rsidRPr="002B36F9">
              <w:rPr>
                <w:rFonts w:ascii="Arial" w:hAnsi="Arial" w:cs="Arial"/>
                <w:b/>
                <w:bCs/>
                <w:color w:val="000000"/>
                <w:sz w:val="22"/>
                <w:szCs w:val="22"/>
              </w:rPr>
              <w:t>23,26%</w:t>
            </w:r>
          </w:p>
        </w:tc>
      </w:tr>
      <w:tr w:rsidR="002B36F9" w:rsidRPr="002B36F9" w14:paraId="6F1461F0" w14:textId="77777777" w:rsidTr="00D83CAF">
        <w:tc>
          <w:tcPr>
            <w:tcW w:w="0" w:type="auto"/>
            <w:vAlign w:val="center"/>
            <w:hideMark/>
          </w:tcPr>
          <w:p w14:paraId="7D44C724" w14:textId="77777777" w:rsidR="002B36F9" w:rsidRPr="002B36F9" w:rsidRDefault="002B36F9" w:rsidP="002B36F9">
            <w:pPr>
              <w:spacing w:line="360" w:lineRule="auto"/>
              <w:jc w:val="both"/>
              <w:rPr>
                <w:rFonts w:ascii="Arial" w:hAnsi="Arial" w:cs="Arial"/>
                <w:color w:val="000000"/>
                <w:sz w:val="22"/>
                <w:szCs w:val="22"/>
              </w:rPr>
            </w:pPr>
            <w:r w:rsidRPr="002B36F9">
              <w:rPr>
                <w:rFonts w:ascii="Arial" w:hAnsi="Arial" w:cs="Arial"/>
                <w:color w:val="000000"/>
                <w:sz w:val="22"/>
                <w:szCs w:val="22"/>
              </w:rPr>
              <w:t>Demora en la prestación de servicios</w:t>
            </w:r>
          </w:p>
        </w:tc>
        <w:tc>
          <w:tcPr>
            <w:tcW w:w="0" w:type="auto"/>
            <w:vAlign w:val="center"/>
            <w:hideMark/>
          </w:tcPr>
          <w:p w14:paraId="5298ABDC" w14:textId="77777777" w:rsidR="002B36F9" w:rsidRPr="002B36F9" w:rsidRDefault="002B36F9" w:rsidP="002B36F9">
            <w:pPr>
              <w:spacing w:line="360" w:lineRule="auto"/>
              <w:jc w:val="center"/>
              <w:rPr>
                <w:rFonts w:ascii="Arial" w:hAnsi="Arial" w:cs="Arial"/>
                <w:color w:val="000000"/>
                <w:sz w:val="22"/>
                <w:szCs w:val="22"/>
              </w:rPr>
            </w:pPr>
            <w:r w:rsidRPr="002B36F9">
              <w:rPr>
                <w:rFonts w:ascii="Arial" w:hAnsi="Arial" w:cs="Arial"/>
                <w:color w:val="000000"/>
                <w:sz w:val="22"/>
                <w:szCs w:val="22"/>
              </w:rPr>
              <w:t>4.076</w:t>
            </w:r>
          </w:p>
        </w:tc>
        <w:tc>
          <w:tcPr>
            <w:tcW w:w="0" w:type="auto"/>
            <w:vAlign w:val="center"/>
            <w:hideMark/>
          </w:tcPr>
          <w:p w14:paraId="4605FEFF" w14:textId="77777777" w:rsidR="002B36F9" w:rsidRPr="002B36F9" w:rsidRDefault="002B36F9" w:rsidP="002B36F9">
            <w:pPr>
              <w:spacing w:line="360" w:lineRule="auto"/>
              <w:jc w:val="center"/>
              <w:rPr>
                <w:rFonts w:ascii="Arial" w:hAnsi="Arial" w:cs="Arial"/>
                <w:color w:val="000000"/>
                <w:sz w:val="22"/>
                <w:szCs w:val="22"/>
              </w:rPr>
            </w:pPr>
            <w:r w:rsidRPr="002B36F9">
              <w:rPr>
                <w:rFonts w:ascii="Arial" w:hAnsi="Arial" w:cs="Arial"/>
                <w:b/>
                <w:bCs/>
                <w:color w:val="000000"/>
                <w:sz w:val="22"/>
                <w:szCs w:val="22"/>
              </w:rPr>
              <w:t>5,10%</w:t>
            </w:r>
          </w:p>
        </w:tc>
      </w:tr>
      <w:tr w:rsidR="002B36F9" w:rsidRPr="002B36F9" w14:paraId="5F63FF84" w14:textId="77777777" w:rsidTr="00D83CAF">
        <w:tc>
          <w:tcPr>
            <w:tcW w:w="0" w:type="auto"/>
            <w:vAlign w:val="center"/>
            <w:hideMark/>
          </w:tcPr>
          <w:p w14:paraId="7BFE2434" w14:textId="77777777" w:rsidR="002B36F9" w:rsidRPr="002B36F9" w:rsidRDefault="002B36F9" w:rsidP="002B36F9">
            <w:pPr>
              <w:spacing w:line="360" w:lineRule="auto"/>
              <w:jc w:val="both"/>
              <w:rPr>
                <w:rFonts w:ascii="Arial" w:hAnsi="Arial" w:cs="Arial"/>
                <w:color w:val="000000"/>
                <w:sz w:val="22"/>
                <w:szCs w:val="22"/>
              </w:rPr>
            </w:pPr>
            <w:r w:rsidRPr="002B36F9">
              <w:rPr>
                <w:rFonts w:ascii="Arial" w:hAnsi="Arial" w:cs="Arial"/>
                <w:color w:val="000000"/>
                <w:sz w:val="22"/>
                <w:szCs w:val="22"/>
              </w:rPr>
              <w:t>Inconsistencias en sistemas de información / aseguramiento</w:t>
            </w:r>
          </w:p>
        </w:tc>
        <w:tc>
          <w:tcPr>
            <w:tcW w:w="0" w:type="auto"/>
            <w:vAlign w:val="center"/>
            <w:hideMark/>
          </w:tcPr>
          <w:p w14:paraId="5FBFCE02" w14:textId="77777777" w:rsidR="002B36F9" w:rsidRPr="002B36F9" w:rsidRDefault="002B36F9" w:rsidP="002B36F9">
            <w:pPr>
              <w:spacing w:line="360" w:lineRule="auto"/>
              <w:jc w:val="center"/>
              <w:rPr>
                <w:rFonts w:ascii="Arial" w:hAnsi="Arial" w:cs="Arial"/>
                <w:color w:val="000000"/>
                <w:sz w:val="22"/>
                <w:szCs w:val="22"/>
              </w:rPr>
            </w:pPr>
            <w:r w:rsidRPr="002B36F9">
              <w:rPr>
                <w:rFonts w:ascii="Arial" w:hAnsi="Arial" w:cs="Arial"/>
                <w:color w:val="000000"/>
                <w:sz w:val="22"/>
                <w:szCs w:val="22"/>
              </w:rPr>
              <w:t>2.411</w:t>
            </w:r>
          </w:p>
        </w:tc>
        <w:tc>
          <w:tcPr>
            <w:tcW w:w="0" w:type="auto"/>
            <w:vAlign w:val="center"/>
            <w:hideMark/>
          </w:tcPr>
          <w:p w14:paraId="5C4F0AF3" w14:textId="77777777" w:rsidR="002B36F9" w:rsidRPr="002B36F9" w:rsidRDefault="002B36F9" w:rsidP="002B36F9">
            <w:pPr>
              <w:spacing w:line="360" w:lineRule="auto"/>
              <w:jc w:val="center"/>
              <w:rPr>
                <w:rFonts w:ascii="Arial" w:hAnsi="Arial" w:cs="Arial"/>
                <w:color w:val="000000"/>
                <w:sz w:val="22"/>
                <w:szCs w:val="22"/>
              </w:rPr>
            </w:pPr>
            <w:r w:rsidRPr="002B36F9">
              <w:rPr>
                <w:rFonts w:ascii="Arial" w:hAnsi="Arial" w:cs="Arial"/>
                <w:b/>
                <w:bCs/>
                <w:color w:val="000000"/>
                <w:sz w:val="22"/>
                <w:szCs w:val="22"/>
              </w:rPr>
              <w:t>3,02%</w:t>
            </w:r>
          </w:p>
        </w:tc>
      </w:tr>
      <w:tr w:rsidR="002B36F9" w:rsidRPr="002B36F9" w14:paraId="1C367148" w14:textId="77777777" w:rsidTr="00D83CAF">
        <w:tc>
          <w:tcPr>
            <w:tcW w:w="0" w:type="auto"/>
            <w:vAlign w:val="center"/>
            <w:hideMark/>
          </w:tcPr>
          <w:p w14:paraId="1A4E52BB" w14:textId="77777777" w:rsidR="002B36F9" w:rsidRPr="002B36F9" w:rsidRDefault="002B36F9" w:rsidP="002B36F9">
            <w:pPr>
              <w:spacing w:line="360" w:lineRule="auto"/>
              <w:jc w:val="both"/>
              <w:rPr>
                <w:rFonts w:ascii="Arial" w:hAnsi="Arial" w:cs="Arial"/>
                <w:color w:val="000000"/>
                <w:sz w:val="22"/>
                <w:szCs w:val="22"/>
              </w:rPr>
            </w:pPr>
            <w:r w:rsidRPr="002B36F9">
              <w:rPr>
                <w:rFonts w:ascii="Arial" w:hAnsi="Arial" w:cs="Arial"/>
                <w:color w:val="000000"/>
                <w:sz w:val="22"/>
                <w:szCs w:val="22"/>
              </w:rPr>
              <w:t>Dificultad de accesibilidad administrativa</w:t>
            </w:r>
          </w:p>
        </w:tc>
        <w:tc>
          <w:tcPr>
            <w:tcW w:w="0" w:type="auto"/>
            <w:vAlign w:val="center"/>
            <w:hideMark/>
          </w:tcPr>
          <w:p w14:paraId="49C8995D" w14:textId="77777777" w:rsidR="002B36F9" w:rsidRPr="002B36F9" w:rsidRDefault="002B36F9" w:rsidP="002B36F9">
            <w:pPr>
              <w:spacing w:line="360" w:lineRule="auto"/>
              <w:jc w:val="center"/>
              <w:rPr>
                <w:rFonts w:ascii="Arial" w:hAnsi="Arial" w:cs="Arial"/>
                <w:color w:val="000000"/>
                <w:sz w:val="22"/>
                <w:szCs w:val="22"/>
              </w:rPr>
            </w:pPr>
            <w:r w:rsidRPr="002B36F9">
              <w:rPr>
                <w:rFonts w:ascii="Arial" w:hAnsi="Arial" w:cs="Arial"/>
                <w:color w:val="000000"/>
                <w:sz w:val="22"/>
                <w:szCs w:val="22"/>
              </w:rPr>
              <w:t>1.339</w:t>
            </w:r>
          </w:p>
        </w:tc>
        <w:tc>
          <w:tcPr>
            <w:tcW w:w="0" w:type="auto"/>
            <w:vAlign w:val="center"/>
            <w:hideMark/>
          </w:tcPr>
          <w:p w14:paraId="2FB05EED" w14:textId="77777777" w:rsidR="002B36F9" w:rsidRPr="002B36F9" w:rsidRDefault="002B36F9" w:rsidP="002B36F9">
            <w:pPr>
              <w:spacing w:line="360" w:lineRule="auto"/>
              <w:jc w:val="center"/>
              <w:rPr>
                <w:rFonts w:ascii="Arial" w:hAnsi="Arial" w:cs="Arial"/>
                <w:color w:val="000000"/>
                <w:sz w:val="22"/>
                <w:szCs w:val="22"/>
              </w:rPr>
            </w:pPr>
            <w:r w:rsidRPr="002B36F9">
              <w:rPr>
                <w:rFonts w:ascii="Arial" w:hAnsi="Arial" w:cs="Arial"/>
                <w:b/>
                <w:bCs/>
                <w:color w:val="000000"/>
                <w:sz w:val="22"/>
                <w:szCs w:val="22"/>
              </w:rPr>
              <w:t>1,68%</w:t>
            </w:r>
          </w:p>
        </w:tc>
      </w:tr>
      <w:tr w:rsidR="002B36F9" w:rsidRPr="002B36F9" w14:paraId="1B7A1AC2" w14:textId="77777777" w:rsidTr="00D83CAF">
        <w:tc>
          <w:tcPr>
            <w:tcW w:w="0" w:type="auto"/>
            <w:vAlign w:val="center"/>
            <w:hideMark/>
          </w:tcPr>
          <w:p w14:paraId="6FA4A00F" w14:textId="77777777" w:rsidR="002B36F9" w:rsidRPr="002B36F9" w:rsidRDefault="002B36F9" w:rsidP="002B36F9">
            <w:pPr>
              <w:spacing w:line="360" w:lineRule="auto"/>
              <w:jc w:val="both"/>
              <w:rPr>
                <w:rFonts w:ascii="Arial" w:hAnsi="Arial" w:cs="Arial"/>
                <w:color w:val="000000"/>
                <w:sz w:val="22"/>
                <w:szCs w:val="22"/>
              </w:rPr>
            </w:pPr>
            <w:r w:rsidRPr="002B36F9">
              <w:rPr>
                <w:rFonts w:ascii="Arial" w:hAnsi="Arial" w:cs="Arial"/>
                <w:b/>
                <w:bCs/>
                <w:color w:val="000000"/>
                <w:sz w:val="22"/>
                <w:szCs w:val="22"/>
              </w:rPr>
              <w:t>Total</w:t>
            </w:r>
          </w:p>
        </w:tc>
        <w:tc>
          <w:tcPr>
            <w:tcW w:w="0" w:type="auto"/>
            <w:vAlign w:val="center"/>
            <w:hideMark/>
          </w:tcPr>
          <w:p w14:paraId="199D558A" w14:textId="77777777" w:rsidR="002B36F9" w:rsidRPr="002B36F9" w:rsidRDefault="002B36F9" w:rsidP="002B36F9">
            <w:pPr>
              <w:spacing w:line="360" w:lineRule="auto"/>
              <w:jc w:val="center"/>
              <w:rPr>
                <w:rFonts w:ascii="Arial" w:hAnsi="Arial" w:cs="Arial"/>
                <w:color w:val="000000"/>
                <w:sz w:val="22"/>
                <w:szCs w:val="22"/>
              </w:rPr>
            </w:pPr>
            <w:r w:rsidRPr="002B36F9">
              <w:rPr>
                <w:rFonts w:ascii="Arial" w:hAnsi="Arial" w:cs="Arial"/>
                <w:b/>
                <w:bCs/>
                <w:color w:val="000000"/>
                <w:sz w:val="22"/>
                <w:szCs w:val="22"/>
              </w:rPr>
              <w:t>79.855</w:t>
            </w:r>
          </w:p>
        </w:tc>
        <w:tc>
          <w:tcPr>
            <w:tcW w:w="0" w:type="auto"/>
            <w:vAlign w:val="center"/>
            <w:hideMark/>
          </w:tcPr>
          <w:p w14:paraId="43E74CCD" w14:textId="77777777" w:rsidR="002B36F9" w:rsidRPr="002B36F9" w:rsidRDefault="002B36F9" w:rsidP="002B36F9">
            <w:pPr>
              <w:spacing w:line="360" w:lineRule="auto"/>
              <w:jc w:val="center"/>
              <w:rPr>
                <w:rFonts w:ascii="Arial" w:hAnsi="Arial" w:cs="Arial"/>
                <w:color w:val="000000"/>
                <w:sz w:val="22"/>
                <w:szCs w:val="22"/>
              </w:rPr>
            </w:pPr>
            <w:r w:rsidRPr="002B36F9">
              <w:rPr>
                <w:rFonts w:ascii="Arial" w:hAnsi="Arial" w:cs="Arial"/>
                <w:b/>
                <w:bCs/>
                <w:color w:val="000000"/>
                <w:sz w:val="22"/>
                <w:szCs w:val="22"/>
              </w:rPr>
              <w:t>100,00%</w:t>
            </w:r>
          </w:p>
        </w:tc>
      </w:tr>
    </w:tbl>
    <w:p w14:paraId="50E53CBF" w14:textId="77777777" w:rsidR="002B36F9" w:rsidRPr="00242DFB" w:rsidRDefault="002B36F9" w:rsidP="00F90D94">
      <w:pPr>
        <w:spacing w:line="360" w:lineRule="auto"/>
        <w:jc w:val="both"/>
        <w:rPr>
          <w:rFonts w:ascii="Arial" w:hAnsi="Arial" w:cs="Arial"/>
          <w:color w:val="000000"/>
          <w:sz w:val="16"/>
          <w:szCs w:val="16"/>
        </w:rPr>
      </w:pPr>
    </w:p>
    <w:p w14:paraId="6BDCB268" w14:textId="0A8FFCE3" w:rsidR="009F762E" w:rsidRPr="00242DFB" w:rsidRDefault="00000000" w:rsidP="00F90D94">
      <w:pPr>
        <w:spacing w:line="360" w:lineRule="auto"/>
        <w:jc w:val="both"/>
        <w:rPr>
          <w:rFonts w:ascii="Arial" w:eastAsia="Arial" w:hAnsi="Arial" w:cs="Arial"/>
          <w:color w:val="000000" w:themeColor="text1"/>
          <w:sz w:val="16"/>
          <w:szCs w:val="16"/>
        </w:rPr>
      </w:pPr>
      <w:r w:rsidRPr="00242DFB">
        <w:rPr>
          <w:rFonts w:ascii="Arial" w:hAnsi="Arial" w:cs="Arial"/>
          <w:color w:val="000000"/>
          <w:sz w:val="16"/>
          <w:szCs w:val="16"/>
        </w:rPr>
        <w:t>Fuente: Acta de Auditoría IVS Capital Salud EPS-S II Sem. 2024 – I Sem. 2025- Subcomponente Gestión Efectiva de PQRS - II Sem 2025 Información reportada por la Entidad base de datos del aplicativo Ágil Salud de Capital Salud EPS-S.</w:t>
      </w:r>
    </w:p>
    <w:p w14:paraId="0CB543BC" w14:textId="77777777" w:rsidR="009F762E" w:rsidRPr="00242DFB" w:rsidRDefault="00000000" w:rsidP="00F90D94">
      <w:pPr>
        <w:spacing w:line="360" w:lineRule="auto"/>
        <w:jc w:val="both"/>
        <w:rPr>
          <w:rFonts w:ascii="Arial" w:hAnsi="Arial" w:cs="Arial"/>
          <w:color w:val="000000" w:themeColor="text1"/>
          <w:sz w:val="16"/>
          <w:szCs w:val="16"/>
        </w:rPr>
      </w:pPr>
      <w:r w:rsidRPr="00242DFB">
        <w:rPr>
          <w:rFonts w:ascii="Arial" w:eastAsia="Arial" w:hAnsi="Arial" w:cs="Arial"/>
          <w:color w:val="000000"/>
          <w:sz w:val="16"/>
          <w:szCs w:val="16"/>
        </w:rPr>
        <w:t>.</w:t>
      </w:r>
    </w:p>
    <w:p w14:paraId="20F431D4"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El análisis de los principales motivos de PQRS evidencia que las mayores inconformidades de los usuarios se concentran en barreras relacionadas con el acceso y la oportunidad en la prestación de los servicios de salud. La principal causa corresponde a la oportunidad en citas de la red contratada, con 53.455 manifestaciones (66,34%), lo que indica que las dificultades para acceder </w:t>
      </w:r>
      <w:r w:rsidRPr="00242DFB">
        <w:rPr>
          <w:rFonts w:ascii="Arial" w:eastAsia="Arial" w:hAnsi="Arial" w:cs="Arial"/>
          <w:color w:val="000000"/>
        </w:rPr>
        <w:lastRenderedPageBreak/>
        <w:t xml:space="preserve">oportunamente a consultas y servicios continúan siendo el principal factor que afecta la experiencia y continuidad de la atención. </w:t>
      </w:r>
    </w:p>
    <w:p w14:paraId="53286423"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4F966F8D"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En segundo lugar, el no suministro de medicamentos representa 18.574 manifestaciones (23,05%), evidenciando afectaciones importantes en la continuidad terapéutica y en la capacidad de respuesta frente a las necesidades farmacológicas de los usuarios.</w:t>
      </w:r>
    </w:p>
    <w:p w14:paraId="59425015" w14:textId="77777777" w:rsidR="009F762E" w:rsidRPr="00242DFB" w:rsidRDefault="009F762E" w:rsidP="002A0E52">
      <w:pPr>
        <w:spacing w:line="360" w:lineRule="auto"/>
        <w:jc w:val="both"/>
        <w:rPr>
          <w:rFonts w:ascii="Arial" w:eastAsia="Arial" w:hAnsi="Arial" w:cs="Arial"/>
          <w:color w:val="000000" w:themeColor="text1"/>
        </w:rPr>
      </w:pPr>
    </w:p>
    <w:p w14:paraId="600729FE"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hAnsi="Arial" w:cs="Arial"/>
          <w:color w:val="000000"/>
        </w:rPr>
        <w:t xml:space="preserve">Por su parte, la demora en la prestación de servicios (5,05%) y las inconsistencias en sistemas de información (2,99%) muestran que, además de las barreras de acceso, persisten dificultades operativas y administrativas que impactan la gestión y oportunidad de la atención. </w:t>
      </w:r>
    </w:p>
    <w:p w14:paraId="0DE2D27D"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51B1B763"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Los resultados muestran que la concentración de aproximadamente el 89% de las manifestaciones se concentran en problemas asociados a oportunidad en citas y suministro de medicamentos, evidenciando que las principales barreras reportadas por los usuarios se encuentran relacionadas con el acceso efectivo y la continuidad en la prestación de los servicios de salud; lo que demanda intervenciones focalizadas en la gestión de red, la operación farmacéutica y la eficiencia de los procesos administrativos.</w:t>
      </w:r>
    </w:p>
    <w:p w14:paraId="29D530BA" w14:textId="77777777" w:rsidR="009F762E" w:rsidRPr="00242DFB" w:rsidRDefault="009F762E" w:rsidP="002A0E52">
      <w:pPr>
        <w:spacing w:line="360" w:lineRule="auto"/>
        <w:jc w:val="both"/>
        <w:rPr>
          <w:rFonts w:ascii="Arial" w:eastAsia="Arial" w:hAnsi="Arial" w:cs="Arial"/>
          <w:color w:val="000000" w:themeColor="text1"/>
        </w:rPr>
      </w:pPr>
    </w:p>
    <w:p w14:paraId="72BB084A" w14:textId="77777777" w:rsidR="009F762E" w:rsidRPr="00242DFB" w:rsidRDefault="00000000" w:rsidP="002A0E52">
      <w:pPr>
        <w:pStyle w:val="Ttulo2"/>
        <w:numPr>
          <w:ilvl w:val="1"/>
          <w:numId w:val="7"/>
        </w:numPr>
        <w:spacing w:before="0" w:line="360" w:lineRule="auto"/>
        <w:jc w:val="both"/>
        <w:rPr>
          <w:rFonts w:ascii="Arial" w:eastAsia="Arial" w:hAnsi="Arial" w:cs="Arial"/>
          <w:b/>
          <w:bCs/>
          <w:color w:val="000000" w:themeColor="text1"/>
          <w:sz w:val="24"/>
          <w:szCs w:val="24"/>
        </w:rPr>
      </w:pPr>
      <w:bookmarkStart w:id="24" w:name="OLE_LINK9"/>
      <w:bookmarkStart w:id="25" w:name="__RefHeading___Toc8588_542869190"/>
      <w:bookmarkStart w:id="26" w:name="_Toc230853769"/>
      <w:bookmarkEnd w:id="24"/>
      <w:bookmarkEnd w:id="25"/>
      <w:r w:rsidRPr="00242DFB">
        <w:rPr>
          <w:rFonts w:ascii="Arial" w:eastAsia="Arial" w:hAnsi="Arial" w:cs="Arial"/>
          <w:b/>
          <w:bCs/>
          <w:color w:val="000000"/>
          <w:sz w:val="24"/>
          <w:szCs w:val="24"/>
        </w:rPr>
        <w:t>Secretaría Distrital - Gestión de PQRS de Salud 2025 en CAPITAL SALUD</w:t>
      </w:r>
      <w:bookmarkEnd w:id="26"/>
    </w:p>
    <w:p w14:paraId="0C39EBFB" w14:textId="77777777" w:rsidR="009F762E" w:rsidRPr="00242DFB" w:rsidRDefault="009F762E" w:rsidP="002A0E52">
      <w:pPr>
        <w:spacing w:line="360" w:lineRule="auto"/>
        <w:jc w:val="both"/>
        <w:rPr>
          <w:rFonts w:ascii="Arial" w:hAnsi="Arial" w:cs="Arial"/>
          <w:color w:val="000000" w:themeColor="text1"/>
        </w:rPr>
      </w:pPr>
    </w:p>
    <w:p w14:paraId="288442E2" w14:textId="77777777" w:rsidR="00962017" w:rsidRPr="00242DFB" w:rsidRDefault="00962017" w:rsidP="00962017">
      <w:pPr>
        <w:spacing w:line="360" w:lineRule="auto"/>
        <w:jc w:val="both"/>
        <w:rPr>
          <w:rFonts w:ascii="Arial" w:hAnsi="Arial" w:cs="Arial"/>
          <w:color w:val="000000" w:themeColor="text1"/>
        </w:rPr>
      </w:pPr>
      <w:r w:rsidRPr="00962017">
        <w:rPr>
          <w:rFonts w:ascii="Arial" w:hAnsi="Arial" w:cs="Arial"/>
          <w:color w:val="000000" w:themeColor="text1"/>
        </w:rPr>
        <w:t>Durante la vigencia 2025, la Subdirección de Garantía del Aseguramiento tramitó un total de 8.600 PQRS correspondientes a usuarios afiliados a Capital Salud en Bogotá. De este total, 306 manifestaciones correspondieron a usuarios del régimen contributivo, equivalentes al 3,56%, mientras que 8.294 PQRS correspondieron al régimen subsidiado, representando el 96,44% del total de peticiones gestionadas.</w:t>
      </w:r>
    </w:p>
    <w:p w14:paraId="53329D8C" w14:textId="77777777" w:rsidR="00962017" w:rsidRPr="00962017" w:rsidRDefault="00962017" w:rsidP="00962017">
      <w:pPr>
        <w:spacing w:line="360" w:lineRule="auto"/>
        <w:jc w:val="both"/>
        <w:rPr>
          <w:rFonts w:ascii="Arial" w:hAnsi="Arial" w:cs="Arial"/>
          <w:color w:val="000000" w:themeColor="text1"/>
        </w:rPr>
      </w:pPr>
    </w:p>
    <w:p w14:paraId="7506934B" w14:textId="77777777" w:rsidR="00962017" w:rsidRPr="00242DFB" w:rsidRDefault="00962017" w:rsidP="00962017">
      <w:pPr>
        <w:spacing w:line="360" w:lineRule="auto"/>
        <w:jc w:val="both"/>
        <w:rPr>
          <w:rFonts w:ascii="Arial" w:hAnsi="Arial" w:cs="Arial"/>
          <w:color w:val="000000" w:themeColor="text1"/>
        </w:rPr>
      </w:pPr>
      <w:r w:rsidRPr="00962017">
        <w:rPr>
          <w:rFonts w:ascii="Arial" w:hAnsi="Arial" w:cs="Arial"/>
          <w:color w:val="000000" w:themeColor="text1"/>
        </w:rPr>
        <w:t xml:space="preserve">Este comportamiento evidencia una concentración marcada de las manifestaciones ciudadanas en el régimen subsidiado, lo cual guarda relación con la composición </w:t>
      </w:r>
      <w:r w:rsidRPr="00962017">
        <w:rPr>
          <w:rFonts w:ascii="Arial" w:hAnsi="Arial" w:cs="Arial"/>
          <w:color w:val="000000" w:themeColor="text1"/>
        </w:rPr>
        <w:lastRenderedPageBreak/>
        <w:t>poblacional de Capital Salud en el Distrito Capital, cuya mayor proporción de afiliados pertenece a dicho régimen. En términos operativos, esta concentración implica que las barreras de acceso, las dificultades administrativas y los problemas relacionados con oportunidad, continuidad y entrega de servicios afectan principalmente a población con mayores condiciones de vulnerabilidad social y económica, lo que incrementa la relevancia del seguimiento institucional por parte de la Secretaría Distrital de Salud.</w:t>
      </w:r>
    </w:p>
    <w:p w14:paraId="124EC2E1" w14:textId="77777777" w:rsidR="00962017" w:rsidRPr="00962017" w:rsidRDefault="00962017" w:rsidP="00962017">
      <w:pPr>
        <w:spacing w:line="360" w:lineRule="auto"/>
        <w:jc w:val="both"/>
        <w:rPr>
          <w:rFonts w:ascii="Arial" w:hAnsi="Arial" w:cs="Arial"/>
          <w:color w:val="000000" w:themeColor="text1"/>
        </w:rPr>
      </w:pPr>
    </w:p>
    <w:p w14:paraId="184D911F" w14:textId="77777777" w:rsidR="00962017" w:rsidRPr="00242DFB" w:rsidRDefault="00962017" w:rsidP="00962017">
      <w:pPr>
        <w:spacing w:line="360" w:lineRule="auto"/>
        <w:jc w:val="both"/>
        <w:rPr>
          <w:rFonts w:ascii="Arial" w:hAnsi="Arial" w:cs="Arial"/>
          <w:color w:val="000000" w:themeColor="text1"/>
        </w:rPr>
      </w:pPr>
      <w:r w:rsidRPr="00962017">
        <w:rPr>
          <w:rFonts w:ascii="Arial" w:hAnsi="Arial" w:cs="Arial"/>
          <w:color w:val="000000" w:themeColor="text1"/>
        </w:rPr>
        <w:t>Al analizar la tasa de PQRS por cada 100.000 afiliados, se observa que el régimen contributivo registró una tasa de 496,68 PQRS por cada 100.000 afiliados, mientras que el régimen subsidiado presentó una tasa de 1.011,03 PQRS por cada 100.000 afiliados. Lo anterior evidencia que, además de concentrar el mayor volumen absoluto de manifestaciones, el régimen subsidiado también presenta una mayor frecuencia relativa de PQRS frente a su población afiliada, superando en más del doble la tasa observada en el régimen contributivo.</w:t>
      </w:r>
    </w:p>
    <w:p w14:paraId="256AD80C" w14:textId="77777777" w:rsidR="00962017" w:rsidRPr="00962017" w:rsidRDefault="00962017" w:rsidP="00962017">
      <w:pPr>
        <w:spacing w:line="360" w:lineRule="auto"/>
        <w:jc w:val="both"/>
        <w:rPr>
          <w:rFonts w:ascii="Arial" w:hAnsi="Arial" w:cs="Arial"/>
          <w:color w:val="000000" w:themeColor="text1"/>
        </w:rPr>
      </w:pPr>
    </w:p>
    <w:p w14:paraId="72C502E3" w14:textId="77777777" w:rsidR="00962017" w:rsidRPr="00242DFB" w:rsidRDefault="00962017" w:rsidP="00962017">
      <w:pPr>
        <w:spacing w:line="360" w:lineRule="auto"/>
        <w:jc w:val="both"/>
        <w:rPr>
          <w:rFonts w:ascii="Arial" w:hAnsi="Arial" w:cs="Arial"/>
          <w:color w:val="000000" w:themeColor="text1"/>
        </w:rPr>
      </w:pPr>
      <w:r w:rsidRPr="00962017">
        <w:rPr>
          <w:rFonts w:ascii="Arial" w:hAnsi="Arial" w:cs="Arial"/>
          <w:color w:val="000000" w:themeColor="text1"/>
        </w:rPr>
        <w:t>La tasa global para Capital Salud fue de 975,10 PQRS por cada 100.000 afiliados, calculada sobre un total de 881.958 afiliados. Este resultado constituye una señal relevante para el seguimiento del aseguramiento en Bogotá, en la medida en que refleja una presión importante sobre los canales de atención institucional y permite identificar posibles barreras persistentes en el acceso efectivo a los servicios de salud.</w:t>
      </w:r>
    </w:p>
    <w:p w14:paraId="7E420E6F" w14:textId="6E15898E" w:rsidR="00D83CAF" w:rsidRPr="00242DFB" w:rsidRDefault="00D83CAF" w:rsidP="00962017">
      <w:pPr>
        <w:pStyle w:val="Descripcin"/>
        <w:keepNext/>
        <w:spacing w:after="0" w:line="360" w:lineRule="auto"/>
        <w:jc w:val="center"/>
        <w:rPr>
          <w:rFonts w:ascii="Arial" w:hAnsi="Arial" w:cs="Arial"/>
          <w:color w:val="000000" w:themeColor="text1"/>
          <w:sz w:val="24"/>
          <w:szCs w:val="24"/>
        </w:rPr>
      </w:pPr>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10</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xml:space="preserve">. </w:t>
      </w:r>
      <w:r w:rsidR="00B63DC5" w:rsidRPr="00242DFB">
        <w:rPr>
          <w:rFonts w:ascii="Arial" w:hAnsi="Arial" w:cs="Arial"/>
          <w:color w:val="000000" w:themeColor="text1"/>
          <w:sz w:val="24"/>
          <w:szCs w:val="24"/>
        </w:rPr>
        <w:t>Total,</w:t>
      </w:r>
      <w:r w:rsidRPr="00242DFB">
        <w:rPr>
          <w:rFonts w:ascii="Arial" w:hAnsi="Arial" w:cs="Arial"/>
          <w:color w:val="000000" w:themeColor="text1"/>
          <w:sz w:val="24"/>
          <w:szCs w:val="24"/>
        </w:rPr>
        <w:t xml:space="preserve"> de PQRS año 2025 Capital Salud EPS-S</w:t>
      </w:r>
    </w:p>
    <w:tbl>
      <w:tblPr>
        <w:tblStyle w:val="Tablaconcuadrcula"/>
        <w:tblW w:w="9238" w:type="dxa"/>
        <w:jc w:val="center"/>
        <w:tblLayout w:type="fixed"/>
        <w:tblLook w:val="04A0" w:firstRow="1" w:lastRow="0" w:firstColumn="1" w:lastColumn="0" w:noHBand="0" w:noVBand="1"/>
      </w:tblPr>
      <w:tblGrid>
        <w:gridCol w:w="2796"/>
        <w:gridCol w:w="1677"/>
        <w:gridCol w:w="1448"/>
        <w:gridCol w:w="1640"/>
        <w:gridCol w:w="1677"/>
      </w:tblGrid>
      <w:tr w:rsidR="009F762E" w:rsidRPr="00242DFB" w14:paraId="0A692510" w14:textId="77777777" w:rsidTr="00D83CAF">
        <w:trPr>
          <w:cantSplit/>
          <w:trHeight w:val="1098"/>
          <w:jc w:val="center"/>
        </w:trPr>
        <w:tc>
          <w:tcPr>
            <w:tcW w:w="2796" w:type="dxa"/>
          </w:tcPr>
          <w:p w14:paraId="54D8E290" w14:textId="77777777" w:rsidR="009F762E" w:rsidRPr="00242DFB" w:rsidRDefault="00000000" w:rsidP="00962017">
            <w:pPr>
              <w:spacing w:line="360" w:lineRule="auto"/>
              <w:jc w:val="center"/>
              <w:rPr>
                <w:rFonts w:ascii="Arial" w:hAnsi="Arial" w:cs="Arial"/>
                <w:color w:val="000000" w:themeColor="text1"/>
              </w:rPr>
            </w:pPr>
            <w:r w:rsidRPr="00242DFB">
              <w:rPr>
                <w:rFonts w:ascii="Arial" w:eastAsia="Calibri" w:hAnsi="Arial" w:cs="Arial"/>
                <w:b/>
                <w:bCs/>
                <w:color w:val="000000" w:themeColor="text1"/>
                <w:kern w:val="2"/>
              </w:rPr>
              <w:t>ENTIDAD-EPS</w:t>
            </w:r>
          </w:p>
        </w:tc>
        <w:tc>
          <w:tcPr>
            <w:tcW w:w="1677" w:type="dxa"/>
          </w:tcPr>
          <w:p w14:paraId="1F789F3B" w14:textId="74830B5E" w:rsidR="009F762E" w:rsidRPr="00242DFB" w:rsidRDefault="00D83CAF" w:rsidP="00962017">
            <w:pPr>
              <w:spacing w:line="360" w:lineRule="auto"/>
              <w:jc w:val="center"/>
              <w:rPr>
                <w:rFonts w:ascii="Arial" w:hAnsi="Arial" w:cs="Arial"/>
                <w:color w:val="000000" w:themeColor="text1"/>
              </w:rPr>
            </w:pPr>
            <w:r w:rsidRPr="00242DFB">
              <w:rPr>
                <w:rFonts w:ascii="Arial" w:eastAsia="Calibri" w:hAnsi="Arial" w:cs="Arial"/>
                <w:b/>
                <w:bCs/>
                <w:color w:val="000000" w:themeColor="text1"/>
                <w:kern w:val="2"/>
              </w:rPr>
              <w:t>TOTAL,</w:t>
            </w:r>
            <w:r w:rsidR="00000000" w:rsidRPr="00242DFB">
              <w:rPr>
                <w:rFonts w:ascii="Arial" w:eastAsia="Calibri" w:hAnsi="Arial" w:cs="Arial"/>
                <w:b/>
                <w:bCs/>
                <w:color w:val="000000" w:themeColor="text1"/>
                <w:kern w:val="2"/>
              </w:rPr>
              <w:t xml:space="preserve"> PQRD</w:t>
            </w:r>
          </w:p>
        </w:tc>
        <w:tc>
          <w:tcPr>
            <w:tcW w:w="1448" w:type="dxa"/>
          </w:tcPr>
          <w:p w14:paraId="71816A01" w14:textId="77777777" w:rsidR="009F762E" w:rsidRPr="00242DFB" w:rsidRDefault="00000000" w:rsidP="00962017">
            <w:pPr>
              <w:spacing w:line="360" w:lineRule="auto"/>
              <w:jc w:val="center"/>
              <w:rPr>
                <w:rFonts w:ascii="Arial" w:hAnsi="Arial" w:cs="Arial"/>
                <w:color w:val="000000" w:themeColor="text1"/>
              </w:rPr>
            </w:pPr>
            <w:r w:rsidRPr="00242DFB">
              <w:rPr>
                <w:rFonts w:ascii="Arial" w:eastAsia="Calibri" w:hAnsi="Arial" w:cs="Arial"/>
                <w:b/>
                <w:bCs/>
                <w:color w:val="000000" w:themeColor="text1"/>
                <w:kern w:val="2"/>
              </w:rPr>
              <w:t>% PQRS</w:t>
            </w:r>
          </w:p>
        </w:tc>
        <w:tc>
          <w:tcPr>
            <w:tcW w:w="1640" w:type="dxa"/>
          </w:tcPr>
          <w:p w14:paraId="0CCCA4D3" w14:textId="761984C1" w:rsidR="009F762E" w:rsidRPr="00242DFB" w:rsidRDefault="00D83CAF" w:rsidP="00962017">
            <w:pPr>
              <w:spacing w:line="360" w:lineRule="auto"/>
              <w:jc w:val="center"/>
              <w:rPr>
                <w:rFonts w:ascii="Arial" w:hAnsi="Arial" w:cs="Arial"/>
                <w:color w:val="000000" w:themeColor="text1"/>
              </w:rPr>
            </w:pPr>
            <w:r w:rsidRPr="00242DFB">
              <w:rPr>
                <w:rFonts w:ascii="Arial" w:eastAsia="Calibri" w:hAnsi="Arial" w:cs="Arial"/>
                <w:b/>
                <w:bCs/>
                <w:color w:val="000000" w:themeColor="text1"/>
                <w:kern w:val="2"/>
              </w:rPr>
              <w:t>TOTAL,</w:t>
            </w:r>
            <w:r w:rsidR="00000000" w:rsidRPr="00242DFB">
              <w:rPr>
                <w:rFonts w:ascii="Arial" w:eastAsia="Calibri" w:hAnsi="Arial" w:cs="Arial"/>
                <w:b/>
                <w:bCs/>
                <w:color w:val="000000" w:themeColor="text1"/>
                <w:kern w:val="2"/>
              </w:rPr>
              <w:t xml:space="preserve"> AFILIADOS</w:t>
            </w:r>
          </w:p>
        </w:tc>
        <w:tc>
          <w:tcPr>
            <w:tcW w:w="1677" w:type="dxa"/>
          </w:tcPr>
          <w:p w14:paraId="21DBDAE4" w14:textId="77777777" w:rsidR="009F762E" w:rsidRPr="00242DFB" w:rsidRDefault="00000000" w:rsidP="00962017">
            <w:pPr>
              <w:spacing w:line="360" w:lineRule="auto"/>
              <w:jc w:val="center"/>
              <w:rPr>
                <w:rFonts w:ascii="Arial" w:hAnsi="Arial" w:cs="Arial"/>
                <w:color w:val="000000" w:themeColor="text1"/>
              </w:rPr>
            </w:pPr>
            <w:r w:rsidRPr="00242DFB">
              <w:rPr>
                <w:rFonts w:ascii="Arial" w:eastAsia="Calibri" w:hAnsi="Arial" w:cs="Arial"/>
                <w:b/>
                <w:bCs/>
                <w:color w:val="000000" w:themeColor="text1"/>
                <w:kern w:val="2"/>
              </w:rPr>
              <w:t>TASA X 100.000</w:t>
            </w:r>
          </w:p>
        </w:tc>
      </w:tr>
      <w:tr w:rsidR="009F762E" w:rsidRPr="00242DFB" w14:paraId="61E78B0D" w14:textId="77777777" w:rsidTr="00D83CAF">
        <w:trPr>
          <w:cantSplit/>
          <w:trHeight w:val="477"/>
          <w:jc w:val="center"/>
        </w:trPr>
        <w:tc>
          <w:tcPr>
            <w:tcW w:w="2796" w:type="dxa"/>
          </w:tcPr>
          <w:p w14:paraId="7EBF8E2E" w14:textId="77777777" w:rsidR="009F762E" w:rsidRPr="00242DFB" w:rsidRDefault="00000000" w:rsidP="00962017">
            <w:pPr>
              <w:spacing w:line="360" w:lineRule="auto"/>
              <w:rPr>
                <w:rFonts w:ascii="Arial" w:hAnsi="Arial" w:cs="Arial"/>
                <w:color w:val="000000" w:themeColor="text1"/>
              </w:rPr>
            </w:pPr>
            <w:r w:rsidRPr="00242DFB">
              <w:rPr>
                <w:rFonts w:ascii="Arial" w:eastAsia="Calibri" w:hAnsi="Arial" w:cs="Arial"/>
                <w:color w:val="000000" w:themeColor="text1"/>
                <w:kern w:val="2"/>
              </w:rPr>
              <w:t>Capital Salud EPS-C</w:t>
            </w:r>
          </w:p>
        </w:tc>
        <w:tc>
          <w:tcPr>
            <w:tcW w:w="1677" w:type="dxa"/>
          </w:tcPr>
          <w:p w14:paraId="15BE83D5" w14:textId="77777777" w:rsidR="009F762E" w:rsidRPr="00242DFB" w:rsidRDefault="00000000" w:rsidP="00962017">
            <w:pPr>
              <w:spacing w:line="360" w:lineRule="auto"/>
              <w:jc w:val="center"/>
              <w:rPr>
                <w:rFonts w:ascii="Arial" w:hAnsi="Arial" w:cs="Arial"/>
                <w:color w:val="000000" w:themeColor="text1"/>
              </w:rPr>
            </w:pPr>
            <w:r w:rsidRPr="00242DFB">
              <w:rPr>
                <w:rFonts w:ascii="Arial" w:eastAsia="Calibri" w:hAnsi="Arial" w:cs="Arial"/>
                <w:color w:val="000000" w:themeColor="text1"/>
                <w:kern w:val="2"/>
              </w:rPr>
              <w:t>306</w:t>
            </w:r>
          </w:p>
        </w:tc>
        <w:tc>
          <w:tcPr>
            <w:tcW w:w="1448" w:type="dxa"/>
          </w:tcPr>
          <w:p w14:paraId="48D44571" w14:textId="77777777" w:rsidR="009F762E" w:rsidRPr="00242DFB" w:rsidRDefault="00000000" w:rsidP="00962017">
            <w:pPr>
              <w:spacing w:line="360" w:lineRule="auto"/>
              <w:jc w:val="center"/>
              <w:rPr>
                <w:rFonts w:ascii="Arial" w:hAnsi="Arial" w:cs="Arial"/>
                <w:color w:val="000000" w:themeColor="text1"/>
              </w:rPr>
            </w:pPr>
            <w:r w:rsidRPr="00242DFB">
              <w:rPr>
                <w:rFonts w:ascii="Arial" w:eastAsia="Calibri" w:hAnsi="Arial" w:cs="Arial"/>
                <w:color w:val="000000" w:themeColor="text1"/>
                <w:kern w:val="2"/>
              </w:rPr>
              <w:t>4</w:t>
            </w:r>
          </w:p>
        </w:tc>
        <w:tc>
          <w:tcPr>
            <w:tcW w:w="1640" w:type="dxa"/>
          </w:tcPr>
          <w:p w14:paraId="1278C955" w14:textId="77777777" w:rsidR="009F762E" w:rsidRPr="00242DFB" w:rsidRDefault="00000000" w:rsidP="00962017">
            <w:pPr>
              <w:spacing w:line="360" w:lineRule="auto"/>
              <w:jc w:val="center"/>
              <w:rPr>
                <w:rFonts w:ascii="Arial" w:hAnsi="Arial" w:cs="Arial"/>
                <w:color w:val="000000" w:themeColor="text1"/>
              </w:rPr>
            </w:pPr>
            <w:r w:rsidRPr="00242DFB">
              <w:rPr>
                <w:rFonts w:ascii="Arial" w:eastAsia="Calibri" w:hAnsi="Arial" w:cs="Arial"/>
                <w:color w:val="000000" w:themeColor="text1"/>
                <w:kern w:val="2"/>
              </w:rPr>
              <w:t>61.609</w:t>
            </w:r>
          </w:p>
        </w:tc>
        <w:tc>
          <w:tcPr>
            <w:tcW w:w="1677" w:type="dxa"/>
          </w:tcPr>
          <w:p w14:paraId="3ED08E15" w14:textId="77777777" w:rsidR="009F762E" w:rsidRPr="00242DFB" w:rsidRDefault="00000000" w:rsidP="00962017">
            <w:pPr>
              <w:spacing w:line="360" w:lineRule="auto"/>
              <w:jc w:val="center"/>
              <w:rPr>
                <w:rFonts w:ascii="Arial" w:hAnsi="Arial" w:cs="Arial"/>
                <w:color w:val="000000" w:themeColor="text1"/>
              </w:rPr>
            </w:pPr>
            <w:r w:rsidRPr="00242DFB">
              <w:rPr>
                <w:rFonts w:ascii="Arial" w:eastAsia="Calibri" w:hAnsi="Arial" w:cs="Arial"/>
                <w:color w:val="000000" w:themeColor="text1"/>
                <w:kern w:val="2"/>
              </w:rPr>
              <w:t>496,68</w:t>
            </w:r>
          </w:p>
        </w:tc>
      </w:tr>
      <w:tr w:rsidR="009F762E" w:rsidRPr="00242DFB" w14:paraId="57F5CB7E" w14:textId="77777777" w:rsidTr="00D83CAF">
        <w:trPr>
          <w:cantSplit/>
          <w:trHeight w:val="652"/>
          <w:jc w:val="center"/>
        </w:trPr>
        <w:tc>
          <w:tcPr>
            <w:tcW w:w="2796" w:type="dxa"/>
          </w:tcPr>
          <w:p w14:paraId="0ACE603F" w14:textId="77777777" w:rsidR="009F762E" w:rsidRPr="00242DFB" w:rsidRDefault="00000000" w:rsidP="00962017">
            <w:pPr>
              <w:spacing w:line="360" w:lineRule="auto"/>
              <w:rPr>
                <w:rFonts w:ascii="Arial" w:hAnsi="Arial" w:cs="Arial"/>
                <w:color w:val="000000" w:themeColor="text1"/>
              </w:rPr>
            </w:pPr>
            <w:r w:rsidRPr="00242DFB">
              <w:rPr>
                <w:rFonts w:ascii="Arial" w:eastAsia="Calibri" w:hAnsi="Arial" w:cs="Arial"/>
                <w:color w:val="000000" w:themeColor="text1"/>
                <w:kern w:val="2"/>
              </w:rPr>
              <w:t>Capital Salud EPS-S</w:t>
            </w:r>
          </w:p>
        </w:tc>
        <w:tc>
          <w:tcPr>
            <w:tcW w:w="1677" w:type="dxa"/>
          </w:tcPr>
          <w:p w14:paraId="2A4F014B" w14:textId="77777777" w:rsidR="009F762E" w:rsidRPr="00242DFB" w:rsidRDefault="00000000" w:rsidP="00962017">
            <w:pPr>
              <w:spacing w:line="360" w:lineRule="auto"/>
              <w:jc w:val="center"/>
              <w:rPr>
                <w:rFonts w:ascii="Arial" w:hAnsi="Arial" w:cs="Arial"/>
                <w:color w:val="000000" w:themeColor="text1"/>
              </w:rPr>
            </w:pPr>
            <w:r w:rsidRPr="00242DFB">
              <w:rPr>
                <w:rFonts w:ascii="Arial" w:eastAsia="Calibri" w:hAnsi="Arial" w:cs="Arial"/>
                <w:color w:val="000000" w:themeColor="text1"/>
                <w:kern w:val="2"/>
              </w:rPr>
              <w:t>8294</w:t>
            </w:r>
          </w:p>
        </w:tc>
        <w:tc>
          <w:tcPr>
            <w:tcW w:w="1448" w:type="dxa"/>
          </w:tcPr>
          <w:p w14:paraId="33F15AC3" w14:textId="77777777" w:rsidR="009F762E" w:rsidRPr="00242DFB" w:rsidRDefault="00000000" w:rsidP="00962017">
            <w:pPr>
              <w:spacing w:line="360" w:lineRule="auto"/>
              <w:jc w:val="center"/>
              <w:rPr>
                <w:rFonts w:ascii="Arial" w:hAnsi="Arial" w:cs="Arial"/>
                <w:color w:val="000000" w:themeColor="text1"/>
              </w:rPr>
            </w:pPr>
            <w:r w:rsidRPr="00242DFB">
              <w:rPr>
                <w:rFonts w:ascii="Arial" w:eastAsia="Calibri" w:hAnsi="Arial" w:cs="Arial"/>
                <w:color w:val="000000" w:themeColor="text1"/>
                <w:kern w:val="2"/>
              </w:rPr>
              <w:t>96</w:t>
            </w:r>
          </w:p>
        </w:tc>
        <w:tc>
          <w:tcPr>
            <w:tcW w:w="1640" w:type="dxa"/>
          </w:tcPr>
          <w:p w14:paraId="4D33AD60" w14:textId="77777777" w:rsidR="009F762E" w:rsidRPr="00242DFB" w:rsidRDefault="00000000" w:rsidP="00962017">
            <w:pPr>
              <w:spacing w:line="360" w:lineRule="auto"/>
              <w:jc w:val="center"/>
              <w:rPr>
                <w:rFonts w:ascii="Arial" w:hAnsi="Arial" w:cs="Arial"/>
                <w:color w:val="000000" w:themeColor="text1"/>
              </w:rPr>
            </w:pPr>
            <w:r w:rsidRPr="00242DFB">
              <w:rPr>
                <w:rFonts w:ascii="Arial" w:eastAsia="Calibri" w:hAnsi="Arial" w:cs="Arial"/>
                <w:color w:val="000000" w:themeColor="text1"/>
                <w:kern w:val="2"/>
              </w:rPr>
              <w:t>820.349</w:t>
            </w:r>
          </w:p>
        </w:tc>
        <w:tc>
          <w:tcPr>
            <w:tcW w:w="1677" w:type="dxa"/>
          </w:tcPr>
          <w:p w14:paraId="528F211A" w14:textId="77777777" w:rsidR="009F762E" w:rsidRPr="00242DFB" w:rsidRDefault="00000000" w:rsidP="00962017">
            <w:pPr>
              <w:spacing w:line="360" w:lineRule="auto"/>
              <w:jc w:val="center"/>
              <w:rPr>
                <w:rFonts w:ascii="Arial" w:hAnsi="Arial" w:cs="Arial"/>
                <w:color w:val="000000" w:themeColor="text1"/>
              </w:rPr>
            </w:pPr>
            <w:r w:rsidRPr="00242DFB">
              <w:rPr>
                <w:rFonts w:ascii="Arial" w:eastAsia="Calibri" w:hAnsi="Arial" w:cs="Arial"/>
                <w:color w:val="000000" w:themeColor="text1"/>
                <w:kern w:val="2"/>
              </w:rPr>
              <w:t>1.011,03</w:t>
            </w:r>
          </w:p>
        </w:tc>
      </w:tr>
      <w:tr w:rsidR="009F762E" w:rsidRPr="00242DFB" w14:paraId="032F1ABC" w14:textId="77777777" w:rsidTr="00D83CAF">
        <w:trPr>
          <w:cantSplit/>
          <w:trHeight w:val="509"/>
          <w:jc w:val="center"/>
        </w:trPr>
        <w:tc>
          <w:tcPr>
            <w:tcW w:w="2796" w:type="dxa"/>
          </w:tcPr>
          <w:p w14:paraId="0B8C93F1" w14:textId="42C79458" w:rsidR="009F762E" w:rsidRPr="00242DFB" w:rsidRDefault="00B63DC5" w:rsidP="00962017">
            <w:pPr>
              <w:spacing w:line="360" w:lineRule="auto"/>
              <w:rPr>
                <w:rFonts w:ascii="Arial" w:hAnsi="Arial" w:cs="Arial"/>
                <w:color w:val="000000" w:themeColor="text1"/>
              </w:rPr>
            </w:pPr>
            <w:r w:rsidRPr="00242DFB">
              <w:rPr>
                <w:rFonts w:ascii="Arial" w:eastAsia="Calibri" w:hAnsi="Arial" w:cs="Arial"/>
                <w:b/>
                <w:bCs/>
                <w:color w:val="000000" w:themeColor="text1"/>
                <w:kern w:val="2"/>
              </w:rPr>
              <w:t>Total,</w:t>
            </w:r>
            <w:r w:rsidR="00000000" w:rsidRPr="00242DFB">
              <w:rPr>
                <w:rFonts w:ascii="Arial" w:eastAsia="Calibri" w:hAnsi="Arial" w:cs="Arial"/>
                <w:b/>
                <w:bCs/>
                <w:color w:val="000000" w:themeColor="text1"/>
                <w:kern w:val="2"/>
              </w:rPr>
              <w:t xml:space="preserve"> general</w:t>
            </w:r>
          </w:p>
        </w:tc>
        <w:tc>
          <w:tcPr>
            <w:tcW w:w="1677" w:type="dxa"/>
          </w:tcPr>
          <w:p w14:paraId="2B143EFF" w14:textId="77777777" w:rsidR="009F762E" w:rsidRPr="00242DFB" w:rsidRDefault="00000000" w:rsidP="00962017">
            <w:pPr>
              <w:spacing w:line="360" w:lineRule="auto"/>
              <w:jc w:val="center"/>
              <w:rPr>
                <w:rFonts w:ascii="Arial" w:hAnsi="Arial" w:cs="Arial"/>
                <w:color w:val="000000" w:themeColor="text1"/>
              </w:rPr>
            </w:pPr>
            <w:r w:rsidRPr="00242DFB">
              <w:rPr>
                <w:rFonts w:ascii="Arial" w:eastAsia="Calibri" w:hAnsi="Arial" w:cs="Arial"/>
                <w:b/>
                <w:bCs/>
                <w:color w:val="000000" w:themeColor="text1"/>
                <w:kern w:val="2"/>
              </w:rPr>
              <w:t>8600</w:t>
            </w:r>
          </w:p>
        </w:tc>
        <w:tc>
          <w:tcPr>
            <w:tcW w:w="1448" w:type="dxa"/>
          </w:tcPr>
          <w:p w14:paraId="42C18A30" w14:textId="77777777" w:rsidR="009F762E" w:rsidRPr="00242DFB" w:rsidRDefault="00000000" w:rsidP="00962017">
            <w:pPr>
              <w:spacing w:line="360" w:lineRule="auto"/>
              <w:jc w:val="center"/>
              <w:rPr>
                <w:rFonts w:ascii="Arial" w:hAnsi="Arial" w:cs="Arial"/>
                <w:color w:val="000000" w:themeColor="text1"/>
              </w:rPr>
            </w:pPr>
            <w:r w:rsidRPr="00242DFB">
              <w:rPr>
                <w:rFonts w:ascii="Arial" w:eastAsia="Calibri" w:hAnsi="Arial" w:cs="Arial"/>
                <w:b/>
                <w:bCs/>
                <w:color w:val="000000" w:themeColor="text1"/>
                <w:kern w:val="2"/>
              </w:rPr>
              <w:t>100</w:t>
            </w:r>
          </w:p>
        </w:tc>
        <w:tc>
          <w:tcPr>
            <w:tcW w:w="1640" w:type="dxa"/>
          </w:tcPr>
          <w:p w14:paraId="15DF2D34" w14:textId="77777777" w:rsidR="009F762E" w:rsidRPr="00242DFB" w:rsidRDefault="00000000" w:rsidP="00962017">
            <w:pPr>
              <w:spacing w:line="360" w:lineRule="auto"/>
              <w:jc w:val="center"/>
              <w:rPr>
                <w:rFonts w:ascii="Arial" w:hAnsi="Arial" w:cs="Arial"/>
                <w:color w:val="000000" w:themeColor="text1"/>
              </w:rPr>
            </w:pPr>
            <w:r w:rsidRPr="00242DFB">
              <w:rPr>
                <w:rFonts w:ascii="Arial" w:eastAsia="Calibri" w:hAnsi="Arial" w:cs="Arial"/>
                <w:b/>
                <w:bCs/>
                <w:color w:val="000000" w:themeColor="text1"/>
                <w:kern w:val="2"/>
              </w:rPr>
              <w:t>881.958</w:t>
            </w:r>
          </w:p>
        </w:tc>
        <w:tc>
          <w:tcPr>
            <w:tcW w:w="1677" w:type="dxa"/>
          </w:tcPr>
          <w:p w14:paraId="2DD5EE98" w14:textId="77777777" w:rsidR="009F762E" w:rsidRPr="00242DFB" w:rsidRDefault="00000000" w:rsidP="00962017">
            <w:pPr>
              <w:spacing w:line="360" w:lineRule="auto"/>
              <w:jc w:val="center"/>
              <w:rPr>
                <w:rFonts w:ascii="Arial" w:hAnsi="Arial" w:cs="Arial"/>
                <w:color w:val="000000" w:themeColor="text1"/>
              </w:rPr>
            </w:pPr>
            <w:r w:rsidRPr="00242DFB">
              <w:rPr>
                <w:rFonts w:ascii="Arial" w:eastAsia="Calibri" w:hAnsi="Arial" w:cs="Arial"/>
                <w:b/>
                <w:bCs/>
                <w:color w:val="000000" w:themeColor="text1"/>
                <w:kern w:val="2"/>
              </w:rPr>
              <w:t>975,10</w:t>
            </w:r>
          </w:p>
        </w:tc>
      </w:tr>
    </w:tbl>
    <w:p w14:paraId="412145C9" w14:textId="77777777" w:rsidR="009F762E" w:rsidRPr="00242DFB" w:rsidRDefault="00000000" w:rsidP="00962017">
      <w:pPr>
        <w:spacing w:line="360" w:lineRule="auto"/>
        <w:jc w:val="both"/>
        <w:rPr>
          <w:rFonts w:ascii="Arial" w:hAnsi="Arial" w:cs="Arial"/>
          <w:color w:val="000000" w:themeColor="text1"/>
          <w:sz w:val="16"/>
          <w:szCs w:val="16"/>
        </w:rPr>
      </w:pPr>
      <w:r w:rsidRPr="00242DFB">
        <w:rPr>
          <w:rFonts w:ascii="Arial" w:eastAsia="Arial" w:hAnsi="Arial" w:cs="Arial"/>
          <w:iCs/>
          <w:color w:val="000000"/>
          <w:sz w:val="16"/>
          <w:szCs w:val="16"/>
        </w:rPr>
        <w:t>Fuente: Base de datos Bogotá Te Escucha - Dirección de Aseguramiento y Garantía del Derecho a la Salud-2026.- Sistema de información para el Monitoreo del Acceso-SIDMA</w:t>
      </w:r>
    </w:p>
    <w:p w14:paraId="3F3FD084" w14:textId="77777777" w:rsidR="00D83CAF" w:rsidRPr="00242DFB" w:rsidRDefault="00D83CAF" w:rsidP="00962017">
      <w:pPr>
        <w:spacing w:line="360" w:lineRule="auto"/>
        <w:jc w:val="both"/>
        <w:rPr>
          <w:rFonts w:ascii="Arial" w:eastAsia="Arial" w:hAnsi="Arial" w:cs="Arial"/>
          <w:color w:val="000000"/>
        </w:rPr>
      </w:pPr>
    </w:p>
    <w:p w14:paraId="0714D7D6" w14:textId="2104561C" w:rsidR="009F762E" w:rsidRPr="00242DFB" w:rsidRDefault="00962017" w:rsidP="00962017">
      <w:pPr>
        <w:spacing w:line="360" w:lineRule="auto"/>
        <w:jc w:val="both"/>
        <w:rPr>
          <w:rFonts w:ascii="Arial" w:hAnsi="Arial" w:cs="Arial"/>
          <w:color w:val="000000" w:themeColor="text1"/>
        </w:rPr>
      </w:pPr>
      <w:r w:rsidRPr="00962017">
        <w:rPr>
          <w:rFonts w:ascii="Arial" w:hAnsi="Arial" w:cs="Arial"/>
          <w:color w:val="000000" w:themeColor="text1"/>
        </w:rPr>
        <w:t>En consecuencia, el análisis de las PQRS tramitadas por la Subdirección de Garantía del Aseguramiento permite concluir que las principales alertas deben focalizarse en el régimen subsidiado, no solo por su peso poblacional dentro de Capital Salud, sino por la mayor tasa de manifestaciones registradas. Este hallazgo orienta la necesidad de fortalecer las acciones de seguimiento, respuesta oportuna, gestión resolutiva de casos y articulación con la red prestadora, especialmente en los componentes de oportunidad de servicios, entrega de medicamentos, accesibilidad administrativa y continuidad de la atención.</w:t>
      </w:r>
      <w:r w:rsidR="00000000" w:rsidRPr="00242DFB">
        <w:rPr>
          <w:rFonts w:ascii="Arial" w:eastAsia="Calibri" w:hAnsi="Arial" w:cs="Arial"/>
          <w:color w:val="000000"/>
        </w:rPr>
        <w:t xml:space="preserve"> </w:t>
      </w:r>
    </w:p>
    <w:p w14:paraId="7A191CBD" w14:textId="023ABDDF" w:rsidR="009F762E" w:rsidRPr="00242DFB" w:rsidRDefault="00000000" w:rsidP="002A0E52">
      <w:pPr>
        <w:spacing w:line="360" w:lineRule="auto"/>
        <w:jc w:val="center"/>
        <w:rPr>
          <w:rFonts w:ascii="Arial" w:hAnsi="Arial" w:cs="Arial"/>
          <w:color w:val="000000" w:themeColor="text1"/>
        </w:rPr>
      </w:pPr>
      <w:r w:rsidRPr="00242DFB">
        <w:rPr>
          <w:rFonts w:ascii="Arial" w:eastAsia="Calibri" w:hAnsi="Arial" w:cs="Arial"/>
          <w:b/>
          <w:bCs/>
          <w:color w:val="000000"/>
        </w:rPr>
        <w:t xml:space="preserve"> </w:t>
      </w:r>
    </w:p>
    <w:p w14:paraId="30706E88" w14:textId="5E0FA4C2" w:rsidR="009F762E" w:rsidRPr="00242DFB" w:rsidRDefault="00000000" w:rsidP="00B63DC5">
      <w:pPr>
        <w:pStyle w:val="Ttulo2"/>
        <w:numPr>
          <w:ilvl w:val="1"/>
          <w:numId w:val="7"/>
        </w:numPr>
        <w:spacing w:before="0" w:line="360" w:lineRule="auto"/>
        <w:jc w:val="both"/>
        <w:rPr>
          <w:rFonts w:ascii="Arial" w:eastAsia="Arial" w:hAnsi="Arial" w:cs="Arial"/>
          <w:b/>
          <w:bCs/>
          <w:color w:val="000000"/>
          <w:sz w:val="24"/>
          <w:szCs w:val="24"/>
        </w:rPr>
      </w:pPr>
      <w:r w:rsidRPr="00242DFB">
        <w:rPr>
          <w:rFonts w:ascii="Arial" w:eastAsia="Arial" w:hAnsi="Arial" w:cs="Arial"/>
          <w:b/>
          <w:bCs/>
          <w:color w:val="000000"/>
          <w:sz w:val="24"/>
          <w:szCs w:val="24"/>
        </w:rPr>
        <w:t xml:space="preserve">OPORTUNIDAD DE RESPUESTA </w:t>
      </w:r>
      <w:r w:rsidR="00422CE8" w:rsidRPr="00242DFB">
        <w:rPr>
          <w:rFonts w:ascii="Arial" w:eastAsia="Arial" w:hAnsi="Arial" w:cs="Arial"/>
          <w:b/>
          <w:bCs/>
          <w:color w:val="000000"/>
          <w:sz w:val="24"/>
          <w:szCs w:val="24"/>
        </w:rPr>
        <w:t>CAPITAL SALUD</w:t>
      </w:r>
      <w:r w:rsidRPr="00242DFB">
        <w:rPr>
          <w:rFonts w:ascii="Arial" w:eastAsia="Arial" w:hAnsi="Arial" w:cs="Arial"/>
          <w:b/>
          <w:bCs/>
          <w:color w:val="000000"/>
          <w:sz w:val="24"/>
          <w:szCs w:val="24"/>
        </w:rPr>
        <w:t xml:space="preserve"> EPS AÑO 2025</w:t>
      </w:r>
    </w:p>
    <w:p w14:paraId="00C02C73" w14:textId="77777777" w:rsidR="00962017" w:rsidRPr="00242DFB" w:rsidRDefault="00962017" w:rsidP="002A0E52">
      <w:pPr>
        <w:spacing w:line="360" w:lineRule="auto"/>
        <w:jc w:val="both"/>
        <w:rPr>
          <w:rFonts w:ascii="Arial" w:eastAsia="Arial" w:hAnsi="Arial" w:cs="Arial"/>
          <w:color w:val="000000"/>
        </w:rPr>
      </w:pPr>
    </w:p>
    <w:p w14:paraId="08CD321F" w14:textId="77777777" w:rsidR="0073474D" w:rsidRPr="00242DFB" w:rsidRDefault="0073474D" w:rsidP="0073474D">
      <w:pPr>
        <w:spacing w:line="360" w:lineRule="auto"/>
        <w:jc w:val="both"/>
        <w:rPr>
          <w:rFonts w:ascii="Arial" w:eastAsia="Arial" w:hAnsi="Arial" w:cs="Arial"/>
          <w:color w:val="000000"/>
        </w:rPr>
      </w:pPr>
      <w:r w:rsidRPr="0073474D">
        <w:rPr>
          <w:rFonts w:ascii="Arial" w:eastAsia="Arial" w:hAnsi="Arial" w:cs="Arial"/>
          <w:color w:val="000000"/>
        </w:rPr>
        <w:t>Para la vigencia 2025, el promedio de respuesta de fondo a las 8.600 PQRS trasladadas a Capital Salud EPS-S fue de 21 días hábiles, superando el término general de 15 días hábiles previsto para la atención de peticiones generales, de acuerdo con la normativa aplicable. Este resultado evidencia una brecha de oportunidad en la gestión de respuestas, en la medida en que el tiempo promedio observado excede en aproximadamente 6 días hábiles el plazo de referencia.</w:t>
      </w:r>
    </w:p>
    <w:p w14:paraId="32698A68" w14:textId="77777777" w:rsidR="00927DBD" w:rsidRPr="0073474D" w:rsidRDefault="00927DBD" w:rsidP="0073474D">
      <w:pPr>
        <w:spacing w:line="360" w:lineRule="auto"/>
        <w:jc w:val="both"/>
        <w:rPr>
          <w:rFonts w:ascii="Arial" w:eastAsia="Arial" w:hAnsi="Arial" w:cs="Arial"/>
          <w:color w:val="000000"/>
        </w:rPr>
      </w:pPr>
    </w:p>
    <w:p w14:paraId="43088A15" w14:textId="77777777" w:rsidR="0073474D" w:rsidRPr="00242DFB" w:rsidRDefault="0073474D" w:rsidP="0073474D">
      <w:pPr>
        <w:spacing w:line="360" w:lineRule="auto"/>
        <w:jc w:val="both"/>
        <w:rPr>
          <w:rFonts w:ascii="Arial" w:eastAsia="Arial" w:hAnsi="Arial" w:cs="Arial"/>
          <w:color w:val="000000"/>
        </w:rPr>
      </w:pPr>
      <w:r w:rsidRPr="0073474D">
        <w:rPr>
          <w:rFonts w:ascii="Arial" w:eastAsia="Arial" w:hAnsi="Arial" w:cs="Arial"/>
          <w:color w:val="000000"/>
        </w:rPr>
        <w:t>Desde una lectura técnica, este comportamiento refleja dificultades en la capacidad de respuesta institucional para resolver de manera oportuna las manifestaciones ciudadanas trasladadas por la Subdirección de Garantía del Aseguramiento. Aunque el indicador corresponde a un promedio general y no permite identificar por sí solo la totalidad de casos vencidos, sí constituye una señal de alerta frente a la oportunidad del trámite, especialmente si se considera que las PQRS suelen estar asociadas a barreras de acceso, demoras en la asignación de servicios, dificultades en la entrega de medicamentos, autorizaciones, continuidad de tratamientos o problemas administrativos que afectan directamente la experiencia del usuario.</w:t>
      </w:r>
    </w:p>
    <w:p w14:paraId="753A9EFE" w14:textId="77777777" w:rsidR="0073474D" w:rsidRPr="0073474D" w:rsidRDefault="0073474D" w:rsidP="0073474D">
      <w:pPr>
        <w:spacing w:line="360" w:lineRule="auto"/>
        <w:jc w:val="both"/>
        <w:rPr>
          <w:rFonts w:ascii="Arial" w:eastAsia="Arial" w:hAnsi="Arial" w:cs="Arial"/>
          <w:color w:val="000000"/>
        </w:rPr>
      </w:pPr>
    </w:p>
    <w:p w14:paraId="39A611A9" w14:textId="77777777" w:rsidR="0073474D" w:rsidRPr="00242DFB" w:rsidRDefault="0073474D" w:rsidP="0073474D">
      <w:pPr>
        <w:spacing w:line="360" w:lineRule="auto"/>
        <w:jc w:val="both"/>
        <w:rPr>
          <w:rFonts w:ascii="Arial" w:eastAsia="Arial" w:hAnsi="Arial" w:cs="Arial"/>
          <w:color w:val="000000"/>
        </w:rPr>
      </w:pPr>
      <w:r w:rsidRPr="0073474D">
        <w:rPr>
          <w:rFonts w:ascii="Arial" w:eastAsia="Arial" w:hAnsi="Arial" w:cs="Arial"/>
          <w:color w:val="000000"/>
        </w:rPr>
        <w:t xml:space="preserve">El incumplimiento del tiempo promedio esperado puede tener efectos relevantes sobre la garantía del derecho fundamental a la salud, dado que una respuesta tardía </w:t>
      </w:r>
      <w:r w:rsidRPr="0073474D">
        <w:rPr>
          <w:rFonts w:ascii="Arial" w:eastAsia="Arial" w:hAnsi="Arial" w:cs="Arial"/>
          <w:color w:val="000000"/>
        </w:rPr>
        <w:lastRenderedPageBreak/>
        <w:t>puede prolongar la barrera que originó la manifestación, incrementar la reiteración de solicitudes por el mismo hecho y generar mayor presión sobre los canales institucionales de atención. Asimismo, la inoportunidad en la respuesta puede favorecer el uso de mecanismos alternativos de reclamación por parte de los usuarios, tales como nuevas PQRS, quejas ante entes de control o acciones constitucionales, especialmente cuando la situación reportada compromete el acceso efectivo a servicios de salud.</w:t>
      </w:r>
    </w:p>
    <w:p w14:paraId="23DFFB25" w14:textId="77777777" w:rsidR="0073474D" w:rsidRPr="0073474D" w:rsidRDefault="0073474D" w:rsidP="0073474D">
      <w:pPr>
        <w:spacing w:line="360" w:lineRule="auto"/>
        <w:jc w:val="both"/>
        <w:rPr>
          <w:rFonts w:ascii="Arial" w:eastAsia="Arial" w:hAnsi="Arial" w:cs="Arial"/>
          <w:color w:val="000000"/>
        </w:rPr>
      </w:pPr>
    </w:p>
    <w:p w14:paraId="3300458E" w14:textId="77777777" w:rsidR="0073474D" w:rsidRPr="00242DFB" w:rsidRDefault="0073474D" w:rsidP="0073474D">
      <w:pPr>
        <w:spacing w:line="360" w:lineRule="auto"/>
        <w:jc w:val="both"/>
        <w:rPr>
          <w:rFonts w:ascii="Arial" w:eastAsia="Arial" w:hAnsi="Arial" w:cs="Arial"/>
          <w:color w:val="000000"/>
        </w:rPr>
      </w:pPr>
      <w:r w:rsidRPr="0073474D">
        <w:rPr>
          <w:rFonts w:ascii="Arial" w:eastAsia="Arial" w:hAnsi="Arial" w:cs="Arial"/>
          <w:color w:val="000000"/>
        </w:rPr>
        <w:t>En este sentido, el promedio de 21 días hábiles no debe interpretarse únicamente como un rezago administrativo, sino como un indicador operativo asociado a la capacidad de articulación entre la EPS, su red prestadora y los procesos internos responsables de emitir respuestas completas, claras, verificables y resolutivas. La generación de respuestas de fondo depende, en muchos casos, de la oportunidad con la que se obtengan soportes clínicos, administrativos y contractuales por parte de los prestadores, así como de la capacidad de la EPS para gestionar, escalar y cerrar efectivamente cada caso.</w:t>
      </w:r>
    </w:p>
    <w:p w14:paraId="119F34E5" w14:textId="77777777" w:rsidR="0073474D" w:rsidRPr="0073474D" w:rsidRDefault="0073474D" w:rsidP="0073474D">
      <w:pPr>
        <w:spacing w:line="360" w:lineRule="auto"/>
        <w:jc w:val="both"/>
        <w:rPr>
          <w:rFonts w:ascii="Arial" w:eastAsia="Arial" w:hAnsi="Arial" w:cs="Arial"/>
          <w:color w:val="000000"/>
        </w:rPr>
      </w:pPr>
    </w:p>
    <w:p w14:paraId="2C79252A" w14:textId="77777777" w:rsidR="0073474D" w:rsidRPr="0073474D" w:rsidRDefault="0073474D" w:rsidP="0073474D">
      <w:pPr>
        <w:spacing w:line="360" w:lineRule="auto"/>
        <w:jc w:val="both"/>
        <w:rPr>
          <w:rFonts w:ascii="Arial" w:eastAsia="Arial" w:hAnsi="Arial" w:cs="Arial"/>
          <w:color w:val="000000"/>
        </w:rPr>
      </w:pPr>
      <w:r w:rsidRPr="0073474D">
        <w:rPr>
          <w:rFonts w:ascii="Arial" w:eastAsia="Arial" w:hAnsi="Arial" w:cs="Arial"/>
          <w:color w:val="000000"/>
        </w:rPr>
        <w:t>Por lo anterior, se requiere seguimiento operativo específico a este componente, orientado a identificar las causas de demora, segmentar las PQRS por régimen, motivo, localidad, prestador involucrado, tipo de servicio y estado de cierre, así como establecer acciones de mejora que permitan reducir los tiempos de respuesta, fortalecer la gestión resolutiva y prevenir la reiteración de manifestaciones asociadas a las mismas barreras de acceso.</w:t>
      </w:r>
    </w:p>
    <w:p w14:paraId="4FA29876" w14:textId="77777777" w:rsidR="00B63DC5" w:rsidRPr="00242DFB" w:rsidRDefault="00B63DC5" w:rsidP="002A0E52">
      <w:pPr>
        <w:spacing w:line="360" w:lineRule="auto"/>
        <w:jc w:val="both"/>
        <w:rPr>
          <w:rFonts w:ascii="Arial" w:hAnsi="Arial" w:cs="Arial"/>
          <w:color w:val="000000" w:themeColor="text1"/>
        </w:rPr>
      </w:pPr>
    </w:p>
    <w:p w14:paraId="7BC10519" w14:textId="0E8ABE70" w:rsidR="009F762E" w:rsidRPr="00242DFB" w:rsidRDefault="00000000" w:rsidP="00B63DC5">
      <w:pPr>
        <w:pStyle w:val="Ttulo2"/>
        <w:numPr>
          <w:ilvl w:val="1"/>
          <w:numId w:val="7"/>
        </w:numPr>
        <w:spacing w:before="0" w:line="360" w:lineRule="auto"/>
        <w:jc w:val="both"/>
        <w:rPr>
          <w:rFonts w:ascii="Arial" w:eastAsia="Arial" w:hAnsi="Arial" w:cs="Arial"/>
          <w:b/>
          <w:bCs/>
          <w:color w:val="000000"/>
          <w:sz w:val="24"/>
          <w:szCs w:val="24"/>
        </w:rPr>
      </w:pPr>
      <w:r w:rsidRPr="00242DFB">
        <w:rPr>
          <w:rFonts w:ascii="Arial" w:eastAsia="Arial" w:hAnsi="Arial" w:cs="Arial"/>
          <w:b/>
          <w:bCs/>
          <w:color w:val="000000"/>
          <w:sz w:val="24"/>
          <w:szCs w:val="24"/>
        </w:rPr>
        <w:t xml:space="preserve">BARRERAS DE ACCESO AÑOS 2025 </w:t>
      </w:r>
      <w:r w:rsidR="0092547C" w:rsidRPr="00242DFB">
        <w:rPr>
          <w:rFonts w:ascii="Arial" w:eastAsia="Arial" w:hAnsi="Arial" w:cs="Arial"/>
          <w:b/>
          <w:bCs/>
          <w:color w:val="000000"/>
          <w:sz w:val="24"/>
          <w:szCs w:val="24"/>
        </w:rPr>
        <w:t>CAPITAL SALUD EPS</w:t>
      </w:r>
    </w:p>
    <w:p w14:paraId="70D897A7" w14:textId="77777777" w:rsidR="009F762E" w:rsidRPr="00242DFB" w:rsidRDefault="009F762E" w:rsidP="002A0E52">
      <w:pPr>
        <w:spacing w:line="360" w:lineRule="auto"/>
        <w:jc w:val="both"/>
        <w:rPr>
          <w:rFonts w:ascii="Arial" w:hAnsi="Arial" w:cs="Arial"/>
          <w:color w:val="000000" w:themeColor="text1"/>
        </w:rPr>
      </w:pPr>
    </w:p>
    <w:p w14:paraId="7BB6FEE2" w14:textId="77777777" w:rsidR="009A5FBE" w:rsidRPr="009A5FBE" w:rsidRDefault="009A5FBE" w:rsidP="009A5FBE">
      <w:pPr>
        <w:spacing w:line="360" w:lineRule="auto"/>
        <w:jc w:val="both"/>
        <w:rPr>
          <w:rFonts w:ascii="Arial" w:hAnsi="Arial" w:cs="Arial"/>
          <w:color w:val="000000" w:themeColor="text1"/>
        </w:rPr>
      </w:pPr>
      <w:r w:rsidRPr="009A5FBE">
        <w:rPr>
          <w:rFonts w:ascii="Arial" w:hAnsi="Arial" w:cs="Arial"/>
          <w:color w:val="000000" w:themeColor="text1"/>
        </w:rPr>
        <w:t xml:space="preserve">En lo relacionado con las barreras de acceso identificadas durante la vigencia 2025, según la información gestionada por la Subdirección de Garantía del Aseguramiento a través de Bogotá Te Escucha y el Sistema de Información para el Monitoreo del Acceso —SIDMA—, se evidencia que las manifestaciones ciudadanas asociadas a Capital Salud se concentraron principalmente en problemas de oportunidad para </w:t>
      </w:r>
      <w:r w:rsidRPr="009A5FBE">
        <w:rPr>
          <w:rFonts w:ascii="Arial" w:hAnsi="Arial" w:cs="Arial"/>
          <w:color w:val="000000" w:themeColor="text1"/>
        </w:rPr>
        <w:lastRenderedPageBreak/>
        <w:t>acceder a los servicios de salud y en dificultades relacionadas con la entrega oportuna de medicamentos. Sobre un total de 8.600 PQRS tramitadas, la distribución por categoría de barrera de acceso se presenta a continuación:</w:t>
      </w:r>
    </w:p>
    <w:p w14:paraId="365D2235" w14:textId="439C4C0B" w:rsidR="009A5FBE" w:rsidRPr="009A5FBE" w:rsidRDefault="009A5FBE" w:rsidP="009A5FBE">
      <w:pPr>
        <w:spacing w:line="360" w:lineRule="auto"/>
        <w:jc w:val="center"/>
        <w:rPr>
          <w:rFonts w:ascii="Arial" w:hAnsi="Arial" w:cs="Arial"/>
          <w:color w:val="000000" w:themeColor="text1"/>
          <w:sz w:val="36"/>
          <w:szCs w:val="36"/>
        </w:rPr>
      </w:pPr>
    </w:p>
    <w:p w14:paraId="7DBFAF72" w14:textId="377D4C09" w:rsidR="009A5FBE" w:rsidRPr="00242DFB" w:rsidRDefault="009A5FBE" w:rsidP="009A5FBE">
      <w:pPr>
        <w:pStyle w:val="Descripcin"/>
        <w:keepNext/>
        <w:spacing w:after="0" w:line="360" w:lineRule="auto"/>
        <w:jc w:val="center"/>
        <w:rPr>
          <w:rFonts w:ascii="Arial" w:hAnsi="Arial" w:cs="Arial"/>
          <w:color w:val="000000" w:themeColor="text1"/>
          <w:sz w:val="24"/>
          <w:szCs w:val="24"/>
        </w:rPr>
      </w:pPr>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11</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Tabla. Barreras de acceso Capital Salud EPS-S, año 2025</w:t>
      </w:r>
    </w:p>
    <w:p w14:paraId="2F2F1BAE" w14:textId="77777777" w:rsidR="009A5FBE" w:rsidRPr="00242DFB" w:rsidRDefault="009A5FBE" w:rsidP="009A5FBE">
      <w:pPr>
        <w:rPr>
          <w:rFonts w:ascii="Arial" w:hAnsi="Arial" w:cs="Arial"/>
        </w:rPr>
      </w:pPr>
    </w:p>
    <w:tbl>
      <w:tblPr>
        <w:tblStyle w:val="Tablaconcuadrcula"/>
        <w:tblW w:w="9534" w:type="dxa"/>
        <w:jc w:val="center"/>
        <w:tblLook w:val="04A0" w:firstRow="1" w:lastRow="0" w:firstColumn="1" w:lastColumn="0" w:noHBand="0" w:noVBand="1"/>
      </w:tblPr>
      <w:tblGrid>
        <w:gridCol w:w="7285"/>
        <w:gridCol w:w="1419"/>
        <w:gridCol w:w="830"/>
      </w:tblGrid>
      <w:tr w:rsidR="004675CD" w:rsidRPr="00242DFB" w14:paraId="466F1640" w14:textId="77777777" w:rsidTr="004675CD">
        <w:trPr>
          <w:trHeight w:val="1299"/>
          <w:jc w:val="center"/>
        </w:trPr>
        <w:tc>
          <w:tcPr>
            <w:tcW w:w="6091" w:type="dxa"/>
            <w:vAlign w:val="center"/>
            <w:hideMark/>
          </w:tcPr>
          <w:p w14:paraId="2DF619B5" w14:textId="77777777" w:rsidR="009A5FBE" w:rsidRPr="009A5FBE" w:rsidRDefault="009A5FBE" w:rsidP="008A7A9F">
            <w:pPr>
              <w:spacing w:line="360" w:lineRule="auto"/>
              <w:jc w:val="center"/>
              <w:rPr>
                <w:rFonts w:ascii="Arial" w:hAnsi="Arial" w:cs="Arial"/>
                <w:b/>
                <w:bCs/>
                <w:color w:val="000000" w:themeColor="text1"/>
              </w:rPr>
            </w:pPr>
            <w:r w:rsidRPr="009A5FBE">
              <w:rPr>
                <w:rFonts w:ascii="Arial" w:hAnsi="Arial" w:cs="Arial"/>
                <w:b/>
                <w:bCs/>
                <w:color w:val="000000" w:themeColor="text1"/>
              </w:rPr>
              <w:t>Categoría - barrera de acceso</w:t>
            </w:r>
          </w:p>
        </w:tc>
        <w:tc>
          <w:tcPr>
            <w:tcW w:w="2613" w:type="dxa"/>
            <w:vAlign w:val="center"/>
            <w:hideMark/>
          </w:tcPr>
          <w:p w14:paraId="5544EF0C" w14:textId="77777777" w:rsidR="009A5FBE" w:rsidRPr="009A5FBE" w:rsidRDefault="009A5FBE" w:rsidP="008A7A9F">
            <w:pPr>
              <w:spacing w:line="360" w:lineRule="auto"/>
              <w:jc w:val="center"/>
              <w:rPr>
                <w:rFonts w:ascii="Arial" w:hAnsi="Arial" w:cs="Arial"/>
                <w:b/>
                <w:bCs/>
                <w:color w:val="000000" w:themeColor="text1"/>
              </w:rPr>
            </w:pPr>
            <w:r w:rsidRPr="009A5FBE">
              <w:rPr>
                <w:rFonts w:ascii="Arial" w:hAnsi="Arial" w:cs="Arial"/>
                <w:b/>
                <w:bCs/>
                <w:color w:val="000000" w:themeColor="text1"/>
              </w:rPr>
              <w:t>Capital Salud EPS-S</w:t>
            </w:r>
          </w:p>
        </w:tc>
        <w:tc>
          <w:tcPr>
            <w:tcW w:w="0" w:type="auto"/>
            <w:vAlign w:val="center"/>
            <w:hideMark/>
          </w:tcPr>
          <w:p w14:paraId="50938556" w14:textId="77777777" w:rsidR="009A5FBE" w:rsidRPr="009A5FBE" w:rsidRDefault="009A5FBE" w:rsidP="008A7A9F">
            <w:pPr>
              <w:spacing w:line="360" w:lineRule="auto"/>
              <w:jc w:val="center"/>
              <w:rPr>
                <w:rFonts w:ascii="Arial" w:hAnsi="Arial" w:cs="Arial"/>
                <w:b/>
                <w:bCs/>
                <w:color w:val="000000" w:themeColor="text1"/>
              </w:rPr>
            </w:pPr>
            <w:r w:rsidRPr="009A5FBE">
              <w:rPr>
                <w:rFonts w:ascii="Arial" w:hAnsi="Arial" w:cs="Arial"/>
                <w:b/>
                <w:bCs/>
                <w:color w:val="000000" w:themeColor="text1"/>
              </w:rPr>
              <w:t>%</w:t>
            </w:r>
          </w:p>
        </w:tc>
      </w:tr>
      <w:tr w:rsidR="004675CD" w:rsidRPr="00242DFB" w14:paraId="6744F423" w14:textId="77777777" w:rsidTr="004675CD">
        <w:trPr>
          <w:trHeight w:val="432"/>
          <w:jc w:val="center"/>
        </w:trPr>
        <w:tc>
          <w:tcPr>
            <w:tcW w:w="6091" w:type="dxa"/>
            <w:vAlign w:val="center"/>
            <w:hideMark/>
          </w:tcPr>
          <w:p w14:paraId="2EB55F35" w14:textId="77777777" w:rsidR="009A5FBE" w:rsidRPr="009A5FBE" w:rsidRDefault="009A5FBE" w:rsidP="009A5FBE">
            <w:pPr>
              <w:spacing w:line="360" w:lineRule="auto"/>
              <w:jc w:val="both"/>
              <w:rPr>
                <w:rFonts w:ascii="Arial" w:hAnsi="Arial" w:cs="Arial"/>
                <w:color w:val="000000" w:themeColor="text1"/>
              </w:rPr>
            </w:pPr>
            <w:r w:rsidRPr="009A5FBE">
              <w:rPr>
                <w:rFonts w:ascii="Arial" w:hAnsi="Arial" w:cs="Arial"/>
                <w:color w:val="000000" w:themeColor="text1"/>
              </w:rPr>
              <w:t>NO_OPORTUNIDAD_SERVICIOS</w:t>
            </w:r>
          </w:p>
        </w:tc>
        <w:tc>
          <w:tcPr>
            <w:tcW w:w="2613" w:type="dxa"/>
            <w:vAlign w:val="center"/>
            <w:hideMark/>
          </w:tcPr>
          <w:p w14:paraId="7F123271" w14:textId="77777777" w:rsidR="009A5FBE" w:rsidRPr="009A5FBE" w:rsidRDefault="009A5FBE" w:rsidP="009A5FBE">
            <w:pPr>
              <w:spacing w:line="360" w:lineRule="auto"/>
              <w:jc w:val="both"/>
              <w:rPr>
                <w:rFonts w:ascii="Arial" w:hAnsi="Arial" w:cs="Arial"/>
                <w:color w:val="000000" w:themeColor="text1"/>
              </w:rPr>
            </w:pPr>
            <w:r w:rsidRPr="009A5FBE">
              <w:rPr>
                <w:rFonts w:ascii="Arial" w:hAnsi="Arial" w:cs="Arial"/>
                <w:color w:val="000000" w:themeColor="text1"/>
              </w:rPr>
              <w:t>6.192</w:t>
            </w:r>
          </w:p>
        </w:tc>
        <w:tc>
          <w:tcPr>
            <w:tcW w:w="0" w:type="auto"/>
            <w:vAlign w:val="center"/>
            <w:hideMark/>
          </w:tcPr>
          <w:p w14:paraId="7826101C" w14:textId="77777777" w:rsidR="009A5FBE" w:rsidRPr="009A5FBE" w:rsidRDefault="009A5FBE" w:rsidP="009A5FBE">
            <w:pPr>
              <w:spacing w:line="360" w:lineRule="auto"/>
              <w:jc w:val="both"/>
              <w:rPr>
                <w:rFonts w:ascii="Arial" w:hAnsi="Arial" w:cs="Arial"/>
                <w:color w:val="000000" w:themeColor="text1"/>
              </w:rPr>
            </w:pPr>
            <w:r w:rsidRPr="009A5FBE">
              <w:rPr>
                <w:rFonts w:ascii="Arial" w:hAnsi="Arial" w:cs="Arial"/>
                <w:color w:val="000000" w:themeColor="text1"/>
              </w:rPr>
              <w:t>72%</w:t>
            </w:r>
          </w:p>
        </w:tc>
      </w:tr>
      <w:tr w:rsidR="004675CD" w:rsidRPr="00242DFB" w14:paraId="478C572B" w14:textId="77777777" w:rsidTr="004675CD">
        <w:trPr>
          <w:trHeight w:val="419"/>
          <w:jc w:val="center"/>
        </w:trPr>
        <w:tc>
          <w:tcPr>
            <w:tcW w:w="6091" w:type="dxa"/>
            <w:vAlign w:val="center"/>
            <w:hideMark/>
          </w:tcPr>
          <w:p w14:paraId="5B56C731" w14:textId="77777777" w:rsidR="009A5FBE" w:rsidRPr="009A5FBE" w:rsidRDefault="009A5FBE" w:rsidP="009A5FBE">
            <w:pPr>
              <w:spacing w:line="360" w:lineRule="auto"/>
              <w:jc w:val="both"/>
              <w:rPr>
                <w:rFonts w:ascii="Arial" w:hAnsi="Arial" w:cs="Arial"/>
                <w:color w:val="000000" w:themeColor="text1"/>
              </w:rPr>
            </w:pPr>
            <w:r w:rsidRPr="009A5FBE">
              <w:rPr>
                <w:rFonts w:ascii="Arial" w:hAnsi="Arial" w:cs="Arial"/>
                <w:color w:val="000000" w:themeColor="text1"/>
              </w:rPr>
              <w:t>NO_ENTREGA_OPORTUNA_MEDICAMENTOS</w:t>
            </w:r>
          </w:p>
        </w:tc>
        <w:tc>
          <w:tcPr>
            <w:tcW w:w="2613" w:type="dxa"/>
            <w:vAlign w:val="center"/>
            <w:hideMark/>
          </w:tcPr>
          <w:p w14:paraId="2B2492E5" w14:textId="77777777" w:rsidR="009A5FBE" w:rsidRPr="009A5FBE" w:rsidRDefault="009A5FBE" w:rsidP="009A5FBE">
            <w:pPr>
              <w:spacing w:line="360" w:lineRule="auto"/>
              <w:jc w:val="both"/>
              <w:rPr>
                <w:rFonts w:ascii="Arial" w:hAnsi="Arial" w:cs="Arial"/>
                <w:color w:val="000000" w:themeColor="text1"/>
              </w:rPr>
            </w:pPr>
            <w:r w:rsidRPr="009A5FBE">
              <w:rPr>
                <w:rFonts w:ascii="Arial" w:hAnsi="Arial" w:cs="Arial"/>
                <w:color w:val="000000" w:themeColor="text1"/>
              </w:rPr>
              <w:t>1.806</w:t>
            </w:r>
          </w:p>
        </w:tc>
        <w:tc>
          <w:tcPr>
            <w:tcW w:w="0" w:type="auto"/>
            <w:vAlign w:val="center"/>
            <w:hideMark/>
          </w:tcPr>
          <w:p w14:paraId="35242AD7" w14:textId="77777777" w:rsidR="009A5FBE" w:rsidRPr="009A5FBE" w:rsidRDefault="009A5FBE" w:rsidP="009A5FBE">
            <w:pPr>
              <w:spacing w:line="360" w:lineRule="auto"/>
              <w:jc w:val="both"/>
              <w:rPr>
                <w:rFonts w:ascii="Arial" w:hAnsi="Arial" w:cs="Arial"/>
                <w:color w:val="000000" w:themeColor="text1"/>
              </w:rPr>
            </w:pPr>
            <w:r w:rsidRPr="009A5FBE">
              <w:rPr>
                <w:rFonts w:ascii="Arial" w:hAnsi="Arial" w:cs="Arial"/>
                <w:color w:val="000000" w:themeColor="text1"/>
              </w:rPr>
              <w:t>21%</w:t>
            </w:r>
          </w:p>
        </w:tc>
      </w:tr>
      <w:tr w:rsidR="004675CD" w:rsidRPr="00242DFB" w14:paraId="43EF6236" w14:textId="77777777" w:rsidTr="004675CD">
        <w:trPr>
          <w:trHeight w:val="432"/>
          <w:jc w:val="center"/>
        </w:trPr>
        <w:tc>
          <w:tcPr>
            <w:tcW w:w="6091" w:type="dxa"/>
            <w:vAlign w:val="center"/>
            <w:hideMark/>
          </w:tcPr>
          <w:p w14:paraId="6DF8D706" w14:textId="77777777" w:rsidR="009A5FBE" w:rsidRPr="009A5FBE" w:rsidRDefault="009A5FBE" w:rsidP="009A5FBE">
            <w:pPr>
              <w:spacing w:line="360" w:lineRule="auto"/>
              <w:jc w:val="both"/>
              <w:rPr>
                <w:rFonts w:ascii="Arial" w:hAnsi="Arial" w:cs="Arial"/>
                <w:color w:val="000000" w:themeColor="text1"/>
              </w:rPr>
            </w:pPr>
            <w:r w:rsidRPr="009A5FBE">
              <w:rPr>
                <w:rFonts w:ascii="Arial" w:hAnsi="Arial" w:cs="Arial"/>
                <w:color w:val="000000" w:themeColor="text1"/>
              </w:rPr>
              <w:t>DIFICULTAD_ACCESIBILIDAD_ADMINISTRATIVA</w:t>
            </w:r>
          </w:p>
        </w:tc>
        <w:tc>
          <w:tcPr>
            <w:tcW w:w="2613" w:type="dxa"/>
            <w:vAlign w:val="center"/>
            <w:hideMark/>
          </w:tcPr>
          <w:p w14:paraId="7E5DE92D" w14:textId="77777777" w:rsidR="009A5FBE" w:rsidRPr="009A5FBE" w:rsidRDefault="009A5FBE" w:rsidP="009A5FBE">
            <w:pPr>
              <w:spacing w:line="360" w:lineRule="auto"/>
              <w:jc w:val="both"/>
              <w:rPr>
                <w:rFonts w:ascii="Arial" w:hAnsi="Arial" w:cs="Arial"/>
                <w:color w:val="000000" w:themeColor="text1"/>
              </w:rPr>
            </w:pPr>
            <w:r w:rsidRPr="009A5FBE">
              <w:rPr>
                <w:rFonts w:ascii="Arial" w:hAnsi="Arial" w:cs="Arial"/>
                <w:color w:val="000000" w:themeColor="text1"/>
              </w:rPr>
              <w:t>172</w:t>
            </w:r>
          </w:p>
        </w:tc>
        <w:tc>
          <w:tcPr>
            <w:tcW w:w="0" w:type="auto"/>
            <w:vAlign w:val="center"/>
            <w:hideMark/>
          </w:tcPr>
          <w:p w14:paraId="73C7680B" w14:textId="77777777" w:rsidR="009A5FBE" w:rsidRPr="009A5FBE" w:rsidRDefault="009A5FBE" w:rsidP="009A5FBE">
            <w:pPr>
              <w:spacing w:line="360" w:lineRule="auto"/>
              <w:jc w:val="both"/>
              <w:rPr>
                <w:rFonts w:ascii="Arial" w:hAnsi="Arial" w:cs="Arial"/>
                <w:color w:val="000000" w:themeColor="text1"/>
              </w:rPr>
            </w:pPr>
            <w:r w:rsidRPr="009A5FBE">
              <w:rPr>
                <w:rFonts w:ascii="Arial" w:hAnsi="Arial" w:cs="Arial"/>
                <w:color w:val="000000" w:themeColor="text1"/>
              </w:rPr>
              <w:t>2%</w:t>
            </w:r>
          </w:p>
        </w:tc>
      </w:tr>
      <w:tr w:rsidR="004675CD" w:rsidRPr="00242DFB" w14:paraId="72C9807F" w14:textId="77777777" w:rsidTr="004675CD">
        <w:trPr>
          <w:trHeight w:val="866"/>
          <w:jc w:val="center"/>
        </w:trPr>
        <w:tc>
          <w:tcPr>
            <w:tcW w:w="6091" w:type="dxa"/>
            <w:vAlign w:val="center"/>
            <w:hideMark/>
          </w:tcPr>
          <w:p w14:paraId="519780F7" w14:textId="77777777" w:rsidR="009A5FBE" w:rsidRPr="009A5FBE" w:rsidRDefault="009A5FBE" w:rsidP="009A5FBE">
            <w:pPr>
              <w:spacing w:line="360" w:lineRule="auto"/>
              <w:jc w:val="both"/>
              <w:rPr>
                <w:rFonts w:ascii="Arial" w:hAnsi="Arial" w:cs="Arial"/>
                <w:color w:val="000000" w:themeColor="text1"/>
              </w:rPr>
            </w:pPr>
            <w:r w:rsidRPr="009A5FBE">
              <w:rPr>
                <w:rFonts w:ascii="Arial" w:hAnsi="Arial" w:cs="Arial"/>
                <w:color w:val="000000" w:themeColor="text1"/>
              </w:rPr>
              <w:t>OTRAS_CATEGORÍAS_NO_ESPECIFICADAS_EN_LA_FUENTE</w:t>
            </w:r>
          </w:p>
        </w:tc>
        <w:tc>
          <w:tcPr>
            <w:tcW w:w="2613" w:type="dxa"/>
            <w:vAlign w:val="center"/>
            <w:hideMark/>
          </w:tcPr>
          <w:p w14:paraId="3C3B6B48" w14:textId="77777777" w:rsidR="009A5FBE" w:rsidRPr="009A5FBE" w:rsidRDefault="009A5FBE" w:rsidP="009A5FBE">
            <w:pPr>
              <w:spacing w:line="360" w:lineRule="auto"/>
              <w:jc w:val="both"/>
              <w:rPr>
                <w:rFonts w:ascii="Arial" w:hAnsi="Arial" w:cs="Arial"/>
                <w:color w:val="000000" w:themeColor="text1"/>
              </w:rPr>
            </w:pPr>
            <w:r w:rsidRPr="009A5FBE">
              <w:rPr>
                <w:rFonts w:ascii="Arial" w:hAnsi="Arial" w:cs="Arial"/>
                <w:color w:val="000000" w:themeColor="text1"/>
              </w:rPr>
              <w:t>430</w:t>
            </w:r>
          </w:p>
        </w:tc>
        <w:tc>
          <w:tcPr>
            <w:tcW w:w="0" w:type="auto"/>
            <w:vAlign w:val="center"/>
            <w:hideMark/>
          </w:tcPr>
          <w:p w14:paraId="4E8F840B" w14:textId="77777777" w:rsidR="009A5FBE" w:rsidRPr="009A5FBE" w:rsidRDefault="009A5FBE" w:rsidP="009A5FBE">
            <w:pPr>
              <w:spacing w:line="360" w:lineRule="auto"/>
              <w:jc w:val="both"/>
              <w:rPr>
                <w:rFonts w:ascii="Arial" w:hAnsi="Arial" w:cs="Arial"/>
                <w:color w:val="000000" w:themeColor="text1"/>
              </w:rPr>
            </w:pPr>
            <w:r w:rsidRPr="009A5FBE">
              <w:rPr>
                <w:rFonts w:ascii="Arial" w:hAnsi="Arial" w:cs="Arial"/>
                <w:color w:val="000000" w:themeColor="text1"/>
              </w:rPr>
              <w:t>5%</w:t>
            </w:r>
          </w:p>
        </w:tc>
      </w:tr>
      <w:tr w:rsidR="004675CD" w:rsidRPr="00242DFB" w14:paraId="289B91A9" w14:textId="77777777" w:rsidTr="004675CD">
        <w:trPr>
          <w:trHeight w:val="866"/>
          <w:jc w:val="center"/>
        </w:trPr>
        <w:tc>
          <w:tcPr>
            <w:tcW w:w="6091" w:type="dxa"/>
            <w:vAlign w:val="center"/>
            <w:hideMark/>
          </w:tcPr>
          <w:p w14:paraId="3753748F" w14:textId="77777777" w:rsidR="009A5FBE" w:rsidRPr="009A5FBE" w:rsidRDefault="009A5FBE" w:rsidP="009A5FBE">
            <w:pPr>
              <w:spacing w:line="360" w:lineRule="auto"/>
              <w:jc w:val="both"/>
              <w:rPr>
                <w:rFonts w:ascii="Arial" w:hAnsi="Arial" w:cs="Arial"/>
                <w:color w:val="000000" w:themeColor="text1"/>
              </w:rPr>
            </w:pPr>
            <w:r w:rsidRPr="009A5FBE">
              <w:rPr>
                <w:rFonts w:ascii="Arial" w:hAnsi="Arial" w:cs="Arial"/>
                <w:color w:val="000000" w:themeColor="text1"/>
              </w:rPr>
              <w:t>TOTAL</w:t>
            </w:r>
          </w:p>
        </w:tc>
        <w:tc>
          <w:tcPr>
            <w:tcW w:w="2613" w:type="dxa"/>
            <w:vAlign w:val="center"/>
            <w:hideMark/>
          </w:tcPr>
          <w:p w14:paraId="17AB657F" w14:textId="77777777" w:rsidR="009A5FBE" w:rsidRPr="009A5FBE" w:rsidRDefault="009A5FBE" w:rsidP="009A5FBE">
            <w:pPr>
              <w:spacing w:line="360" w:lineRule="auto"/>
              <w:jc w:val="both"/>
              <w:rPr>
                <w:rFonts w:ascii="Arial" w:hAnsi="Arial" w:cs="Arial"/>
                <w:color w:val="000000" w:themeColor="text1"/>
              </w:rPr>
            </w:pPr>
            <w:r w:rsidRPr="009A5FBE">
              <w:rPr>
                <w:rFonts w:ascii="Arial" w:hAnsi="Arial" w:cs="Arial"/>
                <w:color w:val="000000" w:themeColor="text1"/>
              </w:rPr>
              <w:t>8.600</w:t>
            </w:r>
          </w:p>
        </w:tc>
        <w:tc>
          <w:tcPr>
            <w:tcW w:w="0" w:type="auto"/>
            <w:vAlign w:val="center"/>
            <w:hideMark/>
          </w:tcPr>
          <w:p w14:paraId="256180EC" w14:textId="77777777" w:rsidR="009A5FBE" w:rsidRPr="009A5FBE" w:rsidRDefault="009A5FBE" w:rsidP="009A5FBE">
            <w:pPr>
              <w:spacing w:line="360" w:lineRule="auto"/>
              <w:jc w:val="both"/>
              <w:rPr>
                <w:rFonts w:ascii="Arial" w:hAnsi="Arial" w:cs="Arial"/>
                <w:color w:val="000000" w:themeColor="text1"/>
              </w:rPr>
            </w:pPr>
            <w:r w:rsidRPr="009A5FBE">
              <w:rPr>
                <w:rFonts w:ascii="Arial" w:hAnsi="Arial" w:cs="Arial"/>
                <w:color w:val="000000" w:themeColor="text1"/>
              </w:rPr>
              <w:t>100%</w:t>
            </w:r>
          </w:p>
        </w:tc>
      </w:tr>
    </w:tbl>
    <w:p w14:paraId="732FD583" w14:textId="77777777" w:rsidR="009A5FBE" w:rsidRPr="009A5FBE" w:rsidRDefault="009A5FBE" w:rsidP="009A5FBE">
      <w:pPr>
        <w:spacing w:line="360" w:lineRule="auto"/>
        <w:jc w:val="both"/>
        <w:rPr>
          <w:rFonts w:ascii="Arial" w:hAnsi="Arial" w:cs="Arial"/>
          <w:color w:val="000000" w:themeColor="text1"/>
          <w:sz w:val="16"/>
          <w:szCs w:val="16"/>
        </w:rPr>
      </w:pPr>
      <w:r w:rsidRPr="009A5FBE">
        <w:rPr>
          <w:rFonts w:ascii="Arial" w:hAnsi="Arial" w:cs="Arial"/>
          <w:color w:val="000000" w:themeColor="text1"/>
          <w:sz w:val="16"/>
          <w:szCs w:val="16"/>
        </w:rPr>
        <w:t>Fuente: Base de datos Bogotá Te Escucha - Dirección de Aseguramiento y Garantía del Derecho a la Salud, 2026. Sistema de Información para el Monitoreo del Acceso - SIDMA.</w:t>
      </w:r>
    </w:p>
    <w:p w14:paraId="0FFFC0A7" w14:textId="77777777" w:rsidR="009A5FBE" w:rsidRPr="00242DFB" w:rsidRDefault="009A5FBE" w:rsidP="009A5FBE">
      <w:pPr>
        <w:spacing w:line="360" w:lineRule="auto"/>
        <w:jc w:val="both"/>
        <w:rPr>
          <w:rFonts w:ascii="Arial" w:hAnsi="Arial" w:cs="Arial"/>
          <w:color w:val="000000" w:themeColor="text1"/>
        </w:rPr>
      </w:pPr>
    </w:p>
    <w:p w14:paraId="34019751" w14:textId="77777777" w:rsidR="009A5FBE" w:rsidRPr="00242DFB" w:rsidRDefault="009A5FBE" w:rsidP="009A5FBE">
      <w:pPr>
        <w:spacing w:line="360" w:lineRule="auto"/>
        <w:jc w:val="both"/>
        <w:rPr>
          <w:rFonts w:ascii="Arial" w:hAnsi="Arial" w:cs="Arial"/>
          <w:color w:val="000000" w:themeColor="text1"/>
        </w:rPr>
      </w:pPr>
      <w:r w:rsidRPr="009A5FBE">
        <w:rPr>
          <w:rFonts w:ascii="Arial" w:hAnsi="Arial" w:cs="Arial"/>
          <w:color w:val="000000" w:themeColor="text1"/>
        </w:rPr>
        <w:t xml:space="preserve">El análisis de la tabla evidencia que la principal barrera reportada corresponde a la no oportunidad de servicios, con 6.192 PQRS, equivalentes al 72% del total, lo que refleja dificultades persistentes para acceder de manera oportuna a citas, procedimientos, autorizaciones, servicios especializados o continuidad de la atención. En segundo lugar, se encuentra la no entrega oportuna de medicamentos, con 1.806 PQRS, correspondiente al 21%, situación que representa una alerta frente a la continuidad terapéutica de los usuarios. </w:t>
      </w:r>
    </w:p>
    <w:p w14:paraId="54BB2BA2" w14:textId="77777777" w:rsidR="009A5FBE" w:rsidRPr="00242DFB" w:rsidRDefault="009A5FBE" w:rsidP="009A5FBE">
      <w:pPr>
        <w:spacing w:line="360" w:lineRule="auto"/>
        <w:jc w:val="both"/>
        <w:rPr>
          <w:rFonts w:ascii="Arial" w:hAnsi="Arial" w:cs="Arial"/>
          <w:color w:val="000000" w:themeColor="text1"/>
        </w:rPr>
      </w:pPr>
    </w:p>
    <w:p w14:paraId="0D1EE99F" w14:textId="3C16E0CF" w:rsidR="009A5FBE" w:rsidRPr="009A5FBE" w:rsidRDefault="009A5FBE" w:rsidP="009A5FBE">
      <w:pPr>
        <w:spacing w:line="360" w:lineRule="auto"/>
        <w:jc w:val="both"/>
        <w:rPr>
          <w:rFonts w:ascii="Arial" w:hAnsi="Arial" w:cs="Arial"/>
          <w:color w:val="000000" w:themeColor="text1"/>
        </w:rPr>
      </w:pPr>
      <w:r w:rsidRPr="009A5FBE">
        <w:rPr>
          <w:rFonts w:ascii="Arial" w:hAnsi="Arial" w:cs="Arial"/>
          <w:color w:val="000000" w:themeColor="text1"/>
        </w:rPr>
        <w:t xml:space="preserve">En conjunto, estas dos categorías concentran el 93% de las barreras identificadas, lo que permite concluir que los principales problemas reportados por los afiliados se relacionan con el acceso efectivo a servicios y medicamentos, componentes críticos </w:t>
      </w:r>
      <w:r w:rsidRPr="009A5FBE">
        <w:rPr>
          <w:rFonts w:ascii="Arial" w:hAnsi="Arial" w:cs="Arial"/>
          <w:color w:val="000000" w:themeColor="text1"/>
        </w:rPr>
        <w:lastRenderedPageBreak/>
        <w:t>para la garantía del derecho fundamental a la salud y para la gestión integral del riesgo en la población afiliada a Capital Salud EPS-S.</w:t>
      </w:r>
    </w:p>
    <w:p w14:paraId="5F38F66D" w14:textId="77777777" w:rsidR="009A5FBE" w:rsidRPr="00242DFB" w:rsidRDefault="009A5FBE" w:rsidP="002A0E52">
      <w:pPr>
        <w:spacing w:line="360" w:lineRule="auto"/>
        <w:jc w:val="both"/>
        <w:rPr>
          <w:rFonts w:ascii="Arial" w:hAnsi="Arial" w:cs="Arial"/>
          <w:color w:val="000000" w:themeColor="text1"/>
        </w:rPr>
      </w:pPr>
    </w:p>
    <w:p w14:paraId="403ED9C7" w14:textId="77777777" w:rsidR="009F762E" w:rsidRPr="00242DFB" w:rsidRDefault="00000000" w:rsidP="002A0E52">
      <w:pPr>
        <w:pStyle w:val="Ttulo1"/>
        <w:numPr>
          <w:ilvl w:val="0"/>
          <w:numId w:val="7"/>
        </w:numPr>
        <w:spacing w:before="0" w:line="360" w:lineRule="auto"/>
        <w:jc w:val="both"/>
        <w:rPr>
          <w:rFonts w:ascii="Arial" w:hAnsi="Arial" w:cs="Arial"/>
          <w:b/>
          <w:bCs/>
          <w:color w:val="000000" w:themeColor="text1"/>
          <w:sz w:val="24"/>
          <w:szCs w:val="24"/>
        </w:rPr>
      </w:pPr>
      <w:bookmarkStart w:id="27" w:name="__RefHeading___Toc8590_542869190"/>
      <w:bookmarkStart w:id="28" w:name="_Toc230853770"/>
      <w:bookmarkEnd w:id="27"/>
      <w:r w:rsidRPr="00242DFB">
        <w:rPr>
          <w:rFonts w:ascii="Arial" w:hAnsi="Arial" w:cs="Arial"/>
          <w:b/>
          <w:bCs/>
          <w:color w:val="000000"/>
          <w:sz w:val="24"/>
          <w:szCs w:val="24"/>
        </w:rPr>
        <w:t>RESULTADOS EN SALUD Y GESTIÓN DEL RIESGO</w:t>
      </w:r>
      <w:bookmarkEnd w:id="28"/>
    </w:p>
    <w:p w14:paraId="463587BA" w14:textId="77777777" w:rsidR="009F762E" w:rsidRPr="00242DFB" w:rsidRDefault="009F762E" w:rsidP="002A0E52">
      <w:pPr>
        <w:spacing w:line="360" w:lineRule="auto"/>
        <w:jc w:val="both"/>
        <w:rPr>
          <w:rFonts w:ascii="Arial" w:hAnsi="Arial" w:cs="Arial"/>
          <w:color w:val="000000" w:themeColor="text1"/>
        </w:rPr>
      </w:pPr>
    </w:p>
    <w:p w14:paraId="0EA4BBA5" w14:textId="18D6C8A4" w:rsidR="009F762E" w:rsidRPr="00242DFB" w:rsidRDefault="00000000" w:rsidP="00D55ABD">
      <w:pPr>
        <w:pStyle w:val="Ttulo2"/>
        <w:numPr>
          <w:ilvl w:val="1"/>
          <w:numId w:val="7"/>
        </w:numPr>
        <w:spacing w:before="0" w:line="360" w:lineRule="auto"/>
        <w:jc w:val="both"/>
        <w:rPr>
          <w:rFonts w:ascii="Arial" w:hAnsi="Arial" w:cs="Arial"/>
          <w:b/>
          <w:bCs/>
          <w:color w:val="000000" w:themeColor="text1"/>
          <w:sz w:val="24"/>
          <w:szCs w:val="24"/>
        </w:rPr>
      </w:pPr>
      <w:bookmarkStart w:id="29" w:name="__RefHeading___Toc8592_542869190"/>
      <w:bookmarkStart w:id="30" w:name="OLE_LINK10"/>
      <w:bookmarkStart w:id="31" w:name="_Toc230853771"/>
      <w:bookmarkEnd w:id="29"/>
      <w:r w:rsidRPr="00242DFB">
        <w:rPr>
          <w:rFonts w:ascii="Arial" w:hAnsi="Arial" w:cs="Arial"/>
          <w:b/>
          <w:bCs/>
          <w:color w:val="000000"/>
          <w:sz w:val="24"/>
          <w:szCs w:val="24"/>
        </w:rPr>
        <w:t>Mortalidad materna</w:t>
      </w:r>
      <w:bookmarkEnd w:id="30"/>
      <w:bookmarkEnd w:id="31"/>
    </w:p>
    <w:p w14:paraId="60BF70F2" w14:textId="77777777" w:rsidR="009F762E" w:rsidRPr="00242DFB" w:rsidRDefault="009F762E" w:rsidP="002A0E52">
      <w:pPr>
        <w:spacing w:line="360" w:lineRule="auto"/>
        <w:rPr>
          <w:rFonts w:ascii="Arial" w:hAnsi="Arial" w:cs="Arial"/>
          <w:color w:val="000000" w:themeColor="text1"/>
        </w:rPr>
      </w:pPr>
    </w:p>
    <w:p w14:paraId="7805201F" w14:textId="77777777" w:rsidR="008F5EC1" w:rsidRPr="00242DFB" w:rsidRDefault="008F5EC1" w:rsidP="008F5EC1">
      <w:pPr>
        <w:spacing w:line="360" w:lineRule="auto"/>
        <w:jc w:val="both"/>
        <w:rPr>
          <w:rFonts w:ascii="Arial" w:hAnsi="Arial" w:cs="Arial"/>
          <w:color w:val="000000" w:themeColor="text1"/>
        </w:rPr>
      </w:pPr>
      <w:r w:rsidRPr="008F5EC1">
        <w:rPr>
          <w:rFonts w:ascii="Arial" w:hAnsi="Arial" w:cs="Arial"/>
          <w:color w:val="000000" w:themeColor="text1"/>
        </w:rPr>
        <w:t>La mortalidad materna constituye uno de los eventos trazadores más sensibles para evaluar la calidad, oportunidad, continuidad e integralidad de la atención en salud de la población gestante. Su ocurrencia no solo refleja la severidad clínica de un evento individual, sino también la capacidad efectiva del asegurador y de la red prestadora para garantizar captación temprana, control prenatal oportuno, identificación y clasificación del riesgo, acceso a servicios especializados, referencia efectiva, atención segura del parto y seguimiento durante el puerperio.</w:t>
      </w:r>
    </w:p>
    <w:p w14:paraId="2984DA88" w14:textId="77777777" w:rsidR="008F5EC1" w:rsidRPr="008F5EC1" w:rsidRDefault="008F5EC1" w:rsidP="008F5EC1">
      <w:pPr>
        <w:spacing w:line="360" w:lineRule="auto"/>
        <w:jc w:val="both"/>
        <w:rPr>
          <w:rFonts w:ascii="Arial" w:hAnsi="Arial" w:cs="Arial"/>
          <w:color w:val="000000" w:themeColor="text1"/>
        </w:rPr>
      </w:pPr>
    </w:p>
    <w:p w14:paraId="77AE2CA9" w14:textId="77777777" w:rsidR="008F5EC1" w:rsidRPr="00242DFB" w:rsidRDefault="008F5EC1" w:rsidP="008F5EC1">
      <w:pPr>
        <w:spacing w:line="360" w:lineRule="auto"/>
        <w:jc w:val="both"/>
        <w:rPr>
          <w:rFonts w:ascii="Arial" w:hAnsi="Arial" w:cs="Arial"/>
          <w:color w:val="000000" w:themeColor="text1"/>
        </w:rPr>
      </w:pPr>
      <w:r w:rsidRPr="008F5EC1">
        <w:rPr>
          <w:rFonts w:ascii="Arial" w:hAnsi="Arial" w:cs="Arial"/>
          <w:color w:val="000000" w:themeColor="text1"/>
        </w:rPr>
        <w:t xml:space="preserve">Este evento se monitorea mediante la </w:t>
      </w:r>
      <w:r w:rsidRPr="008F5EC1">
        <w:rPr>
          <w:rFonts w:ascii="Arial" w:hAnsi="Arial" w:cs="Arial"/>
          <w:b/>
          <w:bCs/>
          <w:color w:val="000000" w:themeColor="text1"/>
        </w:rPr>
        <w:t>Razón de Mortalidad Materna —RMM—</w:t>
      </w:r>
      <w:r w:rsidRPr="008F5EC1">
        <w:rPr>
          <w:rFonts w:ascii="Arial" w:hAnsi="Arial" w:cs="Arial"/>
          <w:color w:val="000000" w:themeColor="text1"/>
        </w:rPr>
        <w:t>, indicador que relaciona el número de muertes maternas ocurridas durante el embarazo, el parto o dentro de los 42 días siguientes a la terminación de la gestación, frente al número de nacidos vivos en el mismo periodo, expresado por cada 100.000 nacidos vivos. Su propósito es estimar el riesgo de morir por causas relacionadas o agravadas por el embarazo, el parto o el puerperio, y constituye una medida fundamental para orientar acciones de vigilancia epidemiológica, gestión integral del riesgo, mejoramiento de la calidad de la atención y toma de decisiones en salud pública.</w:t>
      </w:r>
    </w:p>
    <w:p w14:paraId="11D099E7" w14:textId="77777777" w:rsidR="008F5EC1" w:rsidRPr="008F5EC1" w:rsidRDefault="008F5EC1" w:rsidP="008F5EC1">
      <w:pPr>
        <w:spacing w:line="360" w:lineRule="auto"/>
        <w:jc w:val="both"/>
        <w:rPr>
          <w:rFonts w:ascii="Arial" w:hAnsi="Arial" w:cs="Arial"/>
          <w:color w:val="000000" w:themeColor="text1"/>
        </w:rPr>
      </w:pPr>
    </w:p>
    <w:p w14:paraId="6FF442B5" w14:textId="77777777" w:rsidR="008F5EC1" w:rsidRPr="00242DFB" w:rsidRDefault="008F5EC1" w:rsidP="008F5EC1">
      <w:pPr>
        <w:spacing w:line="360" w:lineRule="auto"/>
        <w:jc w:val="both"/>
        <w:rPr>
          <w:rFonts w:ascii="Arial" w:hAnsi="Arial" w:cs="Arial"/>
          <w:color w:val="000000" w:themeColor="text1"/>
        </w:rPr>
      </w:pPr>
      <w:r w:rsidRPr="008F5EC1">
        <w:rPr>
          <w:rFonts w:ascii="Arial" w:hAnsi="Arial" w:cs="Arial"/>
          <w:color w:val="000000" w:themeColor="text1"/>
        </w:rPr>
        <w:t xml:space="preserve">Durante la vigencia 2025, en Bogotá, D. C., la EAPB Capital Salud registró </w:t>
      </w:r>
      <w:r w:rsidRPr="008F5EC1">
        <w:rPr>
          <w:rFonts w:ascii="Arial" w:hAnsi="Arial" w:cs="Arial"/>
          <w:b/>
          <w:bCs/>
          <w:color w:val="000000" w:themeColor="text1"/>
        </w:rPr>
        <w:t>dos casos de muerte materna</w:t>
      </w:r>
      <w:r w:rsidRPr="008F5EC1">
        <w:rPr>
          <w:rFonts w:ascii="Arial" w:hAnsi="Arial" w:cs="Arial"/>
          <w:color w:val="000000" w:themeColor="text1"/>
        </w:rPr>
        <w:t xml:space="preserve">, con una </w:t>
      </w:r>
      <w:r w:rsidRPr="008F5EC1">
        <w:rPr>
          <w:rFonts w:ascii="Arial" w:hAnsi="Arial" w:cs="Arial"/>
          <w:b/>
          <w:bCs/>
          <w:color w:val="000000" w:themeColor="text1"/>
        </w:rPr>
        <w:t>Razón de Mortalidad Materna preliminar de 36,85 por cada 100.000 nacidos vivos</w:t>
      </w:r>
      <w:r w:rsidRPr="008F5EC1">
        <w:rPr>
          <w:rFonts w:ascii="Arial" w:hAnsi="Arial" w:cs="Arial"/>
          <w:color w:val="000000" w:themeColor="text1"/>
        </w:rPr>
        <w:t xml:space="preserve">, según información RUAF–SIVIGILA. Aunque el número absoluto de casos es bajo, cada muerte materna representa una alerta crítica para el sistema, en tanto exige un análisis individual, integral y exhaustivo de la trayectoria de atención, las condiciones clínicas, las barreras de </w:t>
      </w:r>
      <w:r w:rsidRPr="008F5EC1">
        <w:rPr>
          <w:rFonts w:ascii="Arial" w:hAnsi="Arial" w:cs="Arial"/>
          <w:color w:val="000000" w:themeColor="text1"/>
        </w:rPr>
        <w:lastRenderedPageBreak/>
        <w:t>acceso, la oportunidad en la identificación de signos de alarma y la capacidad de respuesta de la red prestadora.</w:t>
      </w:r>
    </w:p>
    <w:p w14:paraId="4ABB89D9" w14:textId="77777777" w:rsidR="008F5EC1" w:rsidRPr="008F5EC1" w:rsidRDefault="008F5EC1" w:rsidP="008F5EC1">
      <w:pPr>
        <w:spacing w:line="360" w:lineRule="auto"/>
        <w:jc w:val="both"/>
        <w:rPr>
          <w:rFonts w:ascii="Arial" w:hAnsi="Arial" w:cs="Arial"/>
          <w:color w:val="000000" w:themeColor="text1"/>
        </w:rPr>
      </w:pPr>
    </w:p>
    <w:p w14:paraId="08B00894" w14:textId="77777777" w:rsidR="008F5EC1" w:rsidRPr="00242DFB" w:rsidRDefault="008F5EC1" w:rsidP="008F5EC1">
      <w:pPr>
        <w:spacing w:line="360" w:lineRule="auto"/>
        <w:jc w:val="both"/>
        <w:rPr>
          <w:rFonts w:ascii="Arial" w:hAnsi="Arial" w:cs="Arial"/>
          <w:color w:val="000000" w:themeColor="text1"/>
        </w:rPr>
      </w:pPr>
      <w:r w:rsidRPr="008F5EC1">
        <w:rPr>
          <w:rFonts w:ascii="Arial" w:hAnsi="Arial" w:cs="Arial"/>
          <w:color w:val="000000" w:themeColor="text1"/>
        </w:rPr>
        <w:t xml:space="preserve">Al comparar este resultado con el comportamiento distrital, se observa que la RMM preliminar de Capital Salud EPS-S fue ligeramente superior a la razón reportada para Bogotá, D. C., que a diciembre de 2025 se ubicó en </w:t>
      </w:r>
      <w:r w:rsidRPr="008F5EC1">
        <w:rPr>
          <w:rFonts w:ascii="Arial" w:hAnsi="Arial" w:cs="Arial"/>
          <w:b/>
          <w:bCs/>
          <w:color w:val="000000" w:themeColor="text1"/>
        </w:rPr>
        <w:t>35,3 muertes maternas por cada 100.000 nacidos vivos</w:t>
      </w:r>
      <w:r w:rsidRPr="008F5EC1">
        <w:rPr>
          <w:rFonts w:ascii="Arial" w:hAnsi="Arial" w:cs="Arial"/>
          <w:color w:val="000000" w:themeColor="text1"/>
        </w:rPr>
        <w:t>. Si bien la diferencia entre ambos indicadores no es amplia, el resultado de Capital Salud se sitúa por encima del promedio distrital, lo que refuerza la necesidad de mantener seguimiento específico sobre la cohorte materno-perinatal afiliada a esta EPS. Esta comparación adquiere especial relevancia porque los dos eventos reportados correspondieron a muertes maternas directas, asociadas a complicaciones obstétricas agudas y potencialmente prevenibles o mitigables mediante captación temprana, control prenatal efectivo, clasificación oportuna del riesgo, identificación de signos de alarma y activación adecuada de rutas de atención.</w:t>
      </w:r>
    </w:p>
    <w:p w14:paraId="51569221" w14:textId="77777777" w:rsidR="008F5EC1" w:rsidRPr="008F5EC1" w:rsidRDefault="008F5EC1" w:rsidP="008F5EC1">
      <w:pPr>
        <w:spacing w:line="360" w:lineRule="auto"/>
        <w:jc w:val="both"/>
        <w:rPr>
          <w:rFonts w:ascii="Arial" w:hAnsi="Arial" w:cs="Arial"/>
          <w:color w:val="000000" w:themeColor="text1"/>
        </w:rPr>
      </w:pPr>
    </w:p>
    <w:p w14:paraId="6445BBC1" w14:textId="77777777" w:rsidR="008F5EC1" w:rsidRPr="00242DFB" w:rsidRDefault="008F5EC1" w:rsidP="008F5EC1">
      <w:pPr>
        <w:spacing w:line="360" w:lineRule="auto"/>
        <w:jc w:val="both"/>
        <w:rPr>
          <w:rFonts w:ascii="Arial" w:hAnsi="Arial" w:cs="Arial"/>
          <w:color w:val="000000" w:themeColor="text1"/>
        </w:rPr>
      </w:pPr>
      <w:r w:rsidRPr="008F5EC1">
        <w:rPr>
          <w:rFonts w:ascii="Arial" w:hAnsi="Arial" w:cs="Arial"/>
          <w:color w:val="000000" w:themeColor="text1"/>
        </w:rPr>
        <w:t xml:space="preserve">Los dos eventos correspondieron a mujeres jóvenes, de </w:t>
      </w:r>
      <w:r w:rsidRPr="008F5EC1">
        <w:rPr>
          <w:rFonts w:ascii="Arial" w:hAnsi="Arial" w:cs="Arial"/>
          <w:b/>
          <w:bCs/>
          <w:color w:val="000000" w:themeColor="text1"/>
        </w:rPr>
        <w:t>20 y 24 años</w:t>
      </w:r>
      <w:r w:rsidRPr="008F5EC1">
        <w:rPr>
          <w:rFonts w:ascii="Arial" w:hAnsi="Arial" w:cs="Arial"/>
          <w:color w:val="000000" w:themeColor="text1"/>
        </w:rPr>
        <w:t xml:space="preserve">, ambas en etapas avanzadas de la gestación, con edades gestacionales de </w:t>
      </w:r>
      <w:r w:rsidRPr="008F5EC1">
        <w:rPr>
          <w:rFonts w:ascii="Arial" w:hAnsi="Arial" w:cs="Arial"/>
          <w:b/>
          <w:bCs/>
          <w:color w:val="000000" w:themeColor="text1"/>
        </w:rPr>
        <w:t>30 y 38 semanas</w:t>
      </w:r>
      <w:r w:rsidRPr="008F5EC1">
        <w:rPr>
          <w:rFonts w:ascii="Arial" w:hAnsi="Arial" w:cs="Arial"/>
          <w:color w:val="000000" w:themeColor="text1"/>
        </w:rPr>
        <w:t>. Si bien estas edades no corresponden en principio a extremos de edad materna, los desenlaces fatales estuvieron asociados a complicaciones obstétricas agudas de alta severidad. Este comportamiento evidencia que el riesgo materno no depende exclusivamente de la edad de la gestante, sino también de la evolución clínica durante el embarazo, la identificación oportuna de factores de riesgo, la adherencia al control prenatal, la oportunidad en la atención y la capacidad institucional para activar rutas de manejo ante eventos críticos.</w:t>
      </w:r>
    </w:p>
    <w:p w14:paraId="7C754CDC" w14:textId="77777777" w:rsidR="008F5EC1" w:rsidRPr="008F5EC1" w:rsidRDefault="008F5EC1" w:rsidP="008F5EC1">
      <w:pPr>
        <w:spacing w:line="360" w:lineRule="auto"/>
        <w:jc w:val="both"/>
        <w:rPr>
          <w:rFonts w:ascii="Arial" w:hAnsi="Arial" w:cs="Arial"/>
          <w:color w:val="000000" w:themeColor="text1"/>
        </w:rPr>
      </w:pPr>
    </w:p>
    <w:p w14:paraId="6240B879" w14:textId="77777777" w:rsidR="008F5EC1" w:rsidRPr="00242DFB" w:rsidRDefault="008F5EC1" w:rsidP="008F5EC1">
      <w:pPr>
        <w:spacing w:line="360" w:lineRule="auto"/>
        <w:jc w:val="both"/>
        <w:rPr>
          <w:rFonts w:ascii="Arial" w:hAnsi="Arial" w:cs="Arial"/>
          <w:color w:val="000000" w:themeColor="text1"/>
        </w:rPr>
      </w:pPr>
      <w:r w:rsidRPr="008F5EC1">
        <w:rPr>
          <w:rFonts w:ascii="Arial" w:hAnsi="Arial" w:cs="Arial"/>
          <w:color w:val="000000" w:themeColor="text1"/>
        </w:rPr>
        <w:t xml:space="preserve">Desde la clasificación epidemiológica, los dos casos correspondieron a </w:t>
      </w:r>
      <w:r w:rsidRPr="008F5EC1">
        <w:rPr>
          <w:rFonts w:ascii="Arial" w:hAnsi="Arial" w:cs="Arial"/>
          <w:b/>
          <w:bCs/>
          <w:color w:val="000000" w:themeColor="text1"/>
        </w:rPr>
        <w:t>muertes maternas directas</w:t>
      </w:r>
      <w:r w:rsidRPr="008F5EC1">
        <w:rPr>
          <w:rFonts w:ascii="Arial" w:hAnsi="Arial" w:cs="Arial"/>
          <w:color w:val="000000" w:themeColor="text1"/>
        </w:rPr>
        <w:t xml:space="preserve">, asociadas a complicaciones obstétricas del embarazo, el parto o el puerperio. El primer caso se relacionó con un trastorno hipertensivo del embarazo, específicamente eclampsia complicada con síndrome de encefalopatía posterior reversible —PRES—. El segundo caso se asoció a hemorragia obstétrica </w:t>
      </w:r>
      <w:r w:rsidRPr="008F5EC1">
        <w:rPr>
          <w:rFonts w:ascii="Arial" w:hAnsi="Arial" w:cs="Arial"/>
          <w:color w:val="000000" w:themeColor="text1"/>
        </w:rPr>
        <w:lastRenderedPageBreak/>
        <w:t>masiva secundaria a abrupción de placenta, complicada con coagulación intravascular diseminada —CID— y choque mixto. Estas condiciones se encuentran dentro de los principales grupos de causas prevenibles o potencialmente mitigables de mortalidad materna, especialmente cuando existen oportunidades de intervención temprana durante el control prenatal, la valoración del riesgo obstétrico, la identificación de signos de alarma y la activación oportuna de rutas de atención.</w:t>
      </w:r>
    </w:p>
    <w:p w14:paraId="6107B60F" w14:textId="77777777" w:rsidR="00256C22" w:rsidRPr="008F5EC1" w:rsidRDefault="00256C22" w:rsidP="008F5EC1">
      <w:pPr>
        <w:spacing w:line="360" w:lineRule="auto"/>
        <w:jc w:val="both"/>
        <w:rPr>
          <w:rFonts w:ascii="Arial" w:hAnsi="Arial" w:cs="Arial"/>
          <w:color w:val="000000" w:themeColor="text1"/>
        </w:rPr>
      </w:pPr>
    </w:p>
    <w:p w14:paraId="67F1E03B" w14:textId="77777777" w:rsidR="008F5EC1" w:rsidRPr="00242DFB" w:rsidRDefault="008F5EC1" w:rsidP="008F5EC1">
      <w:pPr>
        <w:spacing w:line="360" w:lineRule="auto"/>
        <w:jc w:val="both"/>
        <w:rPr>
          <w:rFonts w:ascii="Arial" w:hAnsi="Arial" w:cs="Arial"/>
          <w:color w:val="000000" w:themeColor="text1"/>
        </w:rPr>
      </w:pPr>
      <w:r w:rsidRPr="008F5EC1">
        <w:rPr>
          <w:rFonts w:ascii="Arial" w:hAnsi="Arial" w:cs="Arial"/>
          <w:color w:val="000000" w:themeColor="text1"/>
        </w:rPr>
        <w:t xml:space="preserve">Un hallazgo relevante en el análisis de los casos fue la presencia de </w:t>
      </w:r>
      <w:r w:rsidRPr="008F5EC1">
        <w:rPr>
          <w:rFonts w:ascii="Arial" w:hAnsi="Arial" w:cs="Arial"/>
          <w:b/>
          <w:bCs/>
          <w:color w:val="000000" w:themeColor="text1"/>
        </w:rPr>
        <w:t>controles prenatales insuficientes</w:t>
      </w:r>
      <w:r w:rsidRPr="008F5EC1">
        <w:rPr>
          <w:rFonts w:ascii="Arial" w:hAnsi="Arial" w:cs="Arial"/>
          <w:color w:val="000000" w:themeColor="text1"/>
        </w:rPr>
        <w:t>, situación que constituye una alerta crítica para la gestión del riesgo materno-perinatal. La baja adherencia o insuficiente asistencia al control prenatal puede limitar la detección temprana de trastornos hipertensivos, alteraciones placentarias, signos de deterioro clínico, condiciones sociales de riesgo y necesidades de seguimiento diferenciado. En este sentido, el control prenatal no debe entenderse únicamente como una actividad programática, sino como una intervención estratégica para anticipar complicaciones, clasificar el riesgo, activar rutas de atención, inducir demanda efectiva y garantizar continuidad del cuidado.</w:t>
      </w:r>
    </w:p>
    <w:p w14:paraId="749C67A7" w14:textId="77777777" w:rsidR="008F5EC1" w:rsidRPr="008F5EC1" w:rsidRDefault="008F5EC1" w:rsidP="008F5EC1">
      <w:pPr>
        <w:spacing w:line="360" w:lineRule="auto"/>
        <w:jc w:val="both"/>
        <w:rPr>
          <w:rFonts w:ascii="Arial" w:hAnsi="Arial" w:cs="Arial"/>
          <w:color w:val="000000" w:themeColor="text1"/>
        </w:rPr>
      </w:pPr>
    </w:p>
    <w:p w14:paraId="45343550" w14:textId="77777777" w:rsidR="008F5EC1" w:rsidRPr="00242DFB" w:rsidRDefault="008F5EC1" w:rsidP="008F5EC1">
      <w:pPr>
        <w:spacing w:line="360" w:lineRule="auto"/>
        <w:jc w:val="both"/>
        <w:rPr>
          <w:rFonts w:ascii="Arial" w:hAnsi="Arial" w:cs="Arial"/>
          <w:color w:val="000000" w:themeColor="text1"/>
        </w:rPr>
      </w:pPr>
      <w:r w:rsidRPr="008F5EC1">
        <w:rPr>
          <w:rFonts w:ascii="Arial" w:hAnsi="Arial" w:cs="Arial"/>
          <w:color w:val="000000" w:themeColor="text1"/>
        </w:rPr>
        <w:t>En los dos casos se identificó una evolución clínica rápidamente progresiva, con deterioro materno severo en corto tiempo, presencia de complicaciones obstétricas agudas de alto riesgo y necesidad de intervenciones de alta complejidad, incluyendo unidad de cuidado intensivo, ventilación mecánica, transfusión masiva y manejo quirúrgico radical. A pesar del manejo especializado, se documentó persistencia de deterioro clínico irreversible. Estos elementos confirman la gravedad de los eventos, pero también resaltan la importancia de fortalecer las fases previas de la atención, particularmente la captación temprana, el seguimiento prenatal efectivo, la identificación de signos de alarma y la referencia oportuna.</w:t>
      </w:r>
    </w:p>
    <w:p w14:paraId="1561D39C" w14:textId="77777777" w:rsidR="008F5EC1" w:rsidRPr="00242DFB" w:rsidRDefault="008F5EC1" w:rsidP="008F5EC1">
      <w:pPr>
        <w:spacing w:line="360" w:lineRule="auto"/>
        <w:jc w:val="both"/>
        <w:rPr>
          <w:rFonts w:ascii="Arial" w:hAnsi="Arial" w:cs="Arial"/>
          <w:color w:val="000000" w:themeColor="text1"/>
        </w:rPr>
      </w:pPr>
    </w:p>
    <w:p w14:paraId="7EEE1DE4" w14:textId="68C0697F" w:rsidR="008F5EC1" w:rsidRPr="00242DFB" w:rsidRDefault="008F5EC1" w:rsidP="008F5EC1">
      <w:pPr>
        <w:spacing w:line="360" w:lineRule="auto"/>
        <w:jc w:val="both"/>
        <w:rPr>
          <w:rFonts w:ascii="Arial" w:hAnsi="Arial" w:cs="Arial"/>
          <w:color w:val="000000" w:themeColor="text1"/>
        </w:rPr>
      </w:pPr>
      <w:r w:rsidRPr="008F5EC1">
        <w:rPr>
          <w:rFonts w:ascii="Arial" w:hAnsi="Arial" w:cs="Arial"/>
          <w:color w:val="000000" w:themeColor="text1"/>
        </w:rPr>
        <w:t>Al contrastar estos eventos con los resultados de auditoría GAUDI e IVS de Capital Salud EPS-S</w:t>
      </w:r>
      <w:r w:rsidRPr="00242DFB">
        <w:rPr>
          <w:rStyle w:val="Refdenotaalpie"/>
          <w:rFonts w:ascii="Arial" w:hAnsi="Arial" w:cs="Arial"/>
          <w:color w:val="000000" w:themeColor="text1"/>
        </w:rPr>
        <w:footnoteReference w:id="4"/>
      </w:r>
      <w:r w:rsidRPr="008F5EC1">
        <w:rPr>
          <w:rFonts w:ascii="Arial" w:hAnsi="Arial" w:cs="Arial"/>
          <w:color w:val="000000" w:themeColor="text1"/>
        </w:rPr>
        <w:t xml:space="preserve">, se observa una relación técnica entre los desenlaces maternos </w:t>
      </w:r>
      <w:r w:rsidRPr="008F5EC1">
        <w:rPr>
          <w:rFonts w:ascii="Arial" w:hAnsi="Arial" w:cs="Arial"/>
          <w:color w:val="000000" w:themeColor="text1"/>
        </w:rPr>
        <w:lastRenderedPageBreak/>
        <w:t>analizados y las brechas identificadas en la implementación efectiva de la Ruta Integral de Atención Materno Perinatal. Los resultados GAUDI reportan incumplimientos en los criterios relacionados con la atención para el cuidado prenatal, la atención del parto y puerperio, y el cuidado y seguimiento del recién nacido. Estos hallazgos son especialmente relevantes frente a los casos descritos, dado que la ruta materno-perinatal exige garantizar intervenciones como exámenes de laboratorio, formulación y entrega de micronutrientes, esquema de vacunación, clasificación del riesgo gestacional y de preeclampsia, definición del plan de parto, atención segura del parto, seguimiento puerperal y control del recién nacido.</w:t>
      </w:r>
    </w:p>
    <w:p w14:paraId="470FFA7B" w14:textId="77777777" w:rsidR="008F5EC1" w:rsidRPr="008F5EC1" w:rsidRDefault="008F5EC1" w:rsidP="008F5EC1">
      <w:pPr>
        <w:spacing w:line="360" w:lineRule="auto"/>
        <w:jc w:val="both"/>
        <w:rPr>
          <w:rFonts w:ascii="Arial" w:hAnsi="Arial" w:cs="Arial"/>
          <w:color w:val="000000" w:themeColor="text1"/>
        </w:rPr>
      </w:pPr>
    </w:p>
    <w:p w14:paraId="0FFDC03F" w14:textId="77777777" w:rsidR="008F5EC1" w:rsidRPr="00242DFB" w:rsidRDefault="008F5EC1" w:rsidP="008F5EC1">
      <w:pPr>
        <w:spacing w:line="360" w:lineRule="auto"/>
        <w:jc w:val="both"/>
        <w:rPr>
          <w:rFonts w:ascii="Arial" w:hAnsi="Arial" w:cs="Arial"/>
          <w:color w:val="000000" w:themeColor="text1"/>
        </w:rPr>
      </w:pPr>
      <w:r w:rsidRPr="008F5EC1">
        <w:rPr>
          <w:rFonts w:ascii="Arial" w:hAnsi="Arial" w:cs="Arial"/>
          <w:color w:val="000000" w:themeColor="text1"/>
        </w:rPr>
        <w:t>Desde esta perspectiva, la mortalidad materna no debe interpretarse únicamente como un desenlace clínico aislado, sino como un evento trazador de la capacidad real de la EPS para gestionar integralmente el riesgo materno-perinatal. La ocurrencia de estos casos, sumada a una RMM superior al promedio distrital y a los hallazgos de auditoría, sugiere oportunidades de mejora en la identificación nominal de gestantes, búsqueda activa de inasistentes, seguimiento a gestantes con baja adherencia al control prenatal, gestión de barreras de acceso, articulación con la red primaria y complementaria, y activación oportuna de rutas de referencia ante signos de alarma.</w:t>
      </w:r>
    </w:p>
    <w:p w14:paraId="36F51C3B" w14:textId="77777777" w:rsidR="008F5EC1" w:rsidRPr="008F5EC1" w:rsidRDefault="008F5EC1" w:rsidP="008F5EC1">
      <w:pPr>
        <w:spacing w:line="360" w:lineRule="auto"/>
        <w:jc w:val="both"/>
        <w:rPr>
          <w:rFonts w:ascii="Arial" w:hAnsi="Arial" w:cs="Arial"/>
          <w:color w:val="000000" w:themeColor="text1"/>
        </w:rPr>
      </w:pPr>
    </w:p>
    <w:p w14:paraId="14C4F3A7" w14:textId="77777777" w:rsidR="008F5EC1" w:rsidRPr="00242DFB" w:rsidRDefault="008F5EC1" w:rsidP="008F5EC1">
      <w:pPr>
        <w:spacing w:line="360" w:lineRule="auto"/>
        <w:jc w:val="both"/>
        <w:rPr>
          <w:rFonts w:ascii="Arial" w:hAnsi="Arial" w:cs="Arial"/>
          <w:color w:val="000000" w:themeColor="text1"/>
        </w:rPr>
      </w:pPr>
      <w:r w:rsidRPr="008F5EC1">
        <w:rPr>
          <w:rFonts w:ascii="Arial" w:hAnsi="Arial" w:cs="Arial"/>
          <w:color w:val="000000" w:themeColor="text1"/>
        </w:rPr>
        <w:t>De manera complementaria, los resultados de IVS muestran alertas en gestión del riesgo relacionadas con la atención integral de mujeres en edad fértil, gestantes y recién nacidos, así como brechas en coberturas de vacunación, valoración integral por curso de vida y gestión efectiva de usuarios canalizados por la Entidad Territorial. Estos elementos refuerzan la necesidad de consolidar un seguimiento nominal y continuo de la cohorte materno-perinatal, con trazabilidad de las intervenciones ordenadas, verificación del cierre efectivo de actividades, monitoreo de inasistencias y priorización de gestantes con condiciones clínicas o sociales de vulnerabilidad.</w:t>
      </w:r>
    </w:p>
    <w:p w14:paraId="2B940A23" w14:textId="77777777" w:rsidR="008F5EC1" w:rsidRPr="008F5EC1" w:rsidRDefault="008F5EC1" w:rsidP="008F5EC1">
      <w:pPr>
        <w:spacing w:line="360" w:lineRule="auto"/>
        <w:jc w:val="both"/>
        <w:rPr>
          <w:rFonts w:ascii="Arial" w:hAnsi="Arial" w:cs="Arial"/>
          <w:color w:val="000000" w:themeColor="text1"/>
        </w:rPr>
      </w:pPr>
    </w:p>
    <w:p w14:paraId="62C3FB13" w14:textId="77777777" w:rsidR="008F5EC1" w:rsidRPr="008F5EC1" w:rsidRDefault="008F5EC1" w:rsidP="008F5EC1">
      <w:pPr>
        <w:spacing w:line="360" w:lineRule="auto"/>
        <w:jc w:val="both"/>
        <w:rPr>
          <w:rFonts w:ascii="Arial" w:hAnsi="Arial" w:cs="Arial"/>
          <w:color w:val="000000" w:themeColor="text1"/>
        </w:rPr>
      </w:pPr>
      <w:r w:rsidRPr="008F5EC1">
        <w:rPr>
          <w:rFonts w:ascii="Arial" w:hAnsi="Arial" w:cs="Arial"/>
          <w:color w:val="000000" w:themeColor="text1"/>
        </w:rPr>
        <w:t>En conclusión, los dos casos de mortalidad materna registrados en Capital Salud EPS-S durante 2025 constituyen una alerta crítica frente a la gestión integral del riesgo materno-perinatal. Si bien ambos eventos presentaron una evolución clínica severa y requirieron intervenciones de alta complejidad, los hallazgos clínicos, el comportamiento comparativo frente a Bogotá y los resultados de auditoría evidencian oportunidades de mejora en captación temprana, adherencia al control prenatal, clasificación del riesgo, seguimiento continuo, activación de rutas y continuidad del cuidado. Por tanto, se recomienda que la EPS priorice un plan de mejoramiento específico para la cohorte materno-perinatal, con acciones verificables sobre identificación nominal de gestantes, control prenatal oportuno, seguimiento a gestantes de riesgo, gestión de barreras de acceso, trazabilidad de remisiones, articulación con la red prestadora y evaluación periódica de desenlaces maternos y perinatales.</w:t>
      </w:r>
    </w:p>
    <w:p w14:paraId="7DA762FD" w14:textId="77777777" w:rsidR="004675CD" w:rsidRPr="00242DFB" w:rsidRDefault="004675CD" w:rsidP="002A0E52">
      <w:pPr>
        <w:spacing w:line="360" w:lineRule="auto"/>
        <w:jc w:val="both"/>
        <w:rPr>
          <w:rFonts w:ascii="Arial" w:hAnsi="Arial" w:cs="Arial"/>
          <w:color w:val="000000" w:themeColor="text1"/>
        </w:rPr>
      </w:pPr>
    </w:p>
    <w:p w14:paraId="36A67228" w14:textId="6B17C6C4" w:rsidR="009F762E" w:rsidRPr="00242DFB" w:rsidRDefault="00947E1B" w:rsidP="002A0E52">
      <w:pPr>
        <w:pStyle w:val="Ttulo2"/>
        <w:numPr>
          <w:ilvl w:val="1"/>
          <w:numId w:val="7"/>
        </w:numPr>
        <w:spacing w:before="0" w:line="360" w:lineRule="auto"/>
        <w:jc w:val="both"/>
        <w:rPr>
          <w:rFonts w:ascii="Arial" w:hAnsi="Arial" w:cs="Arial"/>
          <w:b/>
          <w:bCs/>
          <w:color w:val="000000" w:themeColor="text1"/>
          <w:kern w:val="2"/>
          <w:sz w:val="24"/>
          <w:szCs w:val="24"/>
          <w:lang w:eastAsia="en-US"/>
          <w14:ligatures w14:val="standardContextual"/>
        </w:rPr>
      </w:pPr>
      <w:bookmarkStart w:id="32" w:name="__RefHeading___Toc8594_542869190"/>
      <w:bookmarkStart w:id="33" w:name="_Toc230853772"/>
      <w:bookmarkEnd w:id="32"/>
      <w:r w:rsidRPr="00242DFB">
        <w:rPr>
          <w:rFonts w:ascii="Arial" w:hAnsi="Arial" w:cs="Arial"/>
          <w:b/>
          <w:bCs/>
          <w:color w:val="000000"/>
          <w:sz w:val="24"/>
          <w:szCs w:val="24"/>
        </w:rPr>
        <w:t xml:space="preserve"> </w:t>
      </w:r>
      <w:r w:rsidR="00000000" w:rsidRPr="00242DFB">
        <w:rPr>
          <w:rFonts w:ascii="Arial" w:hAnsi="Arial" w:cs="Arial"/>
          <w:b/>
          <w:bCs/>
          <w:color w:val="000000"/>
          <w:sz w:val="24"/>
          <w:szCs w:val="24"/>
        </w:rPr>
        <w:t>Mortalidad Infantil</w:t>
      </w:r>
      <w:bookmarkEnd w:id="33"/>
      <w:r w:rsidR="00000000" w:rsidRPr="00242DFB">
        <w:rPr>
          <w:rFonts w:ascii="Arial" w:hAnsi="Arial" w:cs="Arial"/>
          <w:b/>
          <w:bCs/>
          <w:color w:val="000000"/>
          <w:sz w:val="24"/>
          <w:szCs w:val="24"/>
        </w:rPr>
        <w:t> </w:t>
      </w:r>
    </w:p>
    <w:p w14:paraId="2A763170" w14:textId="77777777" w:rsidR="009F762E" w:rsidRPr="00242DFB" w:rsidRDefault="009F762E" w:rsidP="002A0E52">
      <w:pPr>
        <w:spacing w:line="360" w:lineRule="auto"/>
        <w:rPr>
          <w:rFonts w:ascii="Arial" w:eastAsia="Arial" w:hAnsi="Arial" w:cs="Arial"/>
          <w:color w:val="000000" w:themeColor="text1"/>
        </w:rPr>
      </w:pPr>
    </w:p>
    <w:p w14:paraId="68F695DD" w14:textId="3359DE81" w:rsidR="009F762E" w:rsidRPr="00242DFB" w:rsidRDefault="00F80AD4" w:rsidP="00E83BF7">
      <w:pPr>
        <w:spacing w:line="360" w:lineRule="auto"/>
        <w:jc w:val="both"/>
        <w:rPr>
          <w:rFonts w:ascii="Arial" w:hAnsi="Arial" w:cs="Arial"/>
          <w:color w:val="000000" w:themeColor="text1"/>
        </w:rPr>
      </w:pPr>
      <w:r w:rsidRPr="00242DFB">
        <w:rPr>
          <w:rFonts w:ascii="Arial" w:hAnsi="Arial" w:cs="Arial"/>
          <w:color w:val="000000" w:themeColor="text1"/>
        </w:rPr>
        <w:t>En la población afiliada a Capital Salud EPS-S en Bogotá, durante el periodo enero-diciembre de 2025, se registraron 67 casos de mortalidad infantil sobre un total de 56.541 nacimientos, para una tasa general de 1,18 casos por cada 1.000 nacidos vivos. Aunque en términos agregados la magnitud del evento puede considerarse relativamente baja, la mortalidad infantil debe analizarse como un evento trazador de la calidad, oportunidad, continuidad e integralidad de la atención materno-perinatal, neonatal y del seguimiento en primera infancia.</w:t>
      </w:r>
    </w:p>
    <w:p w14:paraId="741AE7CE" w14:textId="77777777" w:rsidR="00F80AD4" w:rsidRPr="00242DFB" w:rsidRDefault="00F80AD4" w:rsidP="002A0E52">
      <w:pPr>
        <w:spacing w:line="360" w:lineRule="auto"/>
        <w:ind w:left="720"/>
        <w:jc w:val="center"/>
        <w:rPr>
          <w:rFonts w:ascii="Arial" w:hAnsi="Arial" w:cs="Arial"/>
          <w:color w:val="000000" w:themeColor="text1"/>
        </w:rPr>
      </w:pPr>
    </w:p>
    <w:p w14:paraId="106A778A" w14:textId="45F4C9F8" w:rsidR="00772EDC" w:rsidRPr="00242DFB" w:rsidRDefault="00772EDC" w:rsidP="000C55C7">
      <w:pPr>
        <w:pStyle w:val="Descripcin"/>
        <w:keepNext/>
        <w:jc w:val="center"/>
        <w:rPr>
          <w:rFonts w:ascii="Arial" w:hAnsi="Arial" w:cs="Arial"/>
          <w:color w:val="000000" w:themeColor="text1"/>
          <w:sz w:val="22"/>
          <w:szCs w:val="22"/>
        </w:rPr>
      </w:pPr>
      <w:r w:rsidRPr="00242DFB">
        <w:rPr>
          <w:rFonts w:ascii="Arial" w:hAnsi="Arial" w:cs="Arial"/>
          <w:color w:val="000000" w:themeColor="text1"/>
          <w:sz w:val="22"/>
          <w:szCs w:val="22"/>
        </w:rPr>
        <w:t xml:space="preserve">Tabla </w:t>
      </w:r>
      <w:r w:rsidRPr="00242DFB">
        <w:rPr>
          <w:rFonts w:ascii="Arial" w:hAnsi="Arial" w:cs="Arial"/>
          <w:color w:val="000000" w:themeColor="text1"/>
          <w:sz w:val="22"/>
          <w:szCs w:val="22"/>
        </w:rPr>
        <w:fldChar w:fldCharType="begin"/>
      </w:r>
      <w:r w:rsidRPr="00242DFB">
        <w:rPr>
          <w:rFonts w:ascii="Arial" w:hAnsi="Arial" w:cs="Arial"/>
          <w:color w:val="000000" w:themeColor="text1"/>
          <w:sz w:val="22"/>
          <w:szCs w:val="22"/>
        </w:rPr>
        <w:instrText xml:space="preserve"> SEQ Tabla \* ARABIC </w:instrText>
      </w:r>
      <w:r w:rsidRPr="00242DFB">
        <w:rPr>
          <w:rFonts w:ascii="Arial" w:hAnsi="Arial" w:cs="Arial"/>
          <w:color w:val="000000" w:themeColor="text1"/>
          <w:sz w:val="22"/>
          <w:szCs w:val="22"/>
        </w:rPr>
        <w:fldChar w:fldCharType="separate"/>
      </w:r>
      <w:r w:rsidR="00B1210D">
        <w:rPr>
          <w:rFonts w:ascii="Arial" w:hAnsi="Arial" w:cs="Arial"/>
          <w:noProof/>
          <w:color w:val="000000" w:themeColor="text1"/>
          <w:sz w:val="22"/>
          <w:szCs w:val="22"/>
        </w:rPr>
        <w:t>12</w:t>
      </w:r>
      <w:r w:rsidRPr="00242DFB">
        <w:rPr>
          <w:rFonts w:ascii="Arial" w:hAnsi="Arial" w:cs="Arial"/>
          <w:color w:val="000000" w:themeColor="text1"/>
          <w:sz w:val="22"/>
          <w:szCs w:val="22"/>
        </w:rPr>
        <w:fldChar w:fldCharType="end"/>
      </w:r>
      <w:r w:rsidRPr="00242DFB">
        <w:rPr>
          <w:rFonts w:ascii="Arial" w:hAnsi="Arial" w:cs="Arial"/>
          <w:color w:val="000000" w:themeColor="text1"/>
          <w:sz w:val="22"/>
          <w:szCs w:val="22"/>
        </w:rPr>
        <w:t>.  Casos y tasas de mortalidad infantil en Capital Salud EPS-S, Bogotá D.C., enero-diciembre de 2025</w:t>
      </w:r>
    </w:p>
    <w:tbl>
      <w:tblPr>
        <w:tblW w:w="7706" w:type="dxa"/>
        <w:jc w:val="center"/>
        <w:tblLayout w:type="fixed"/>
        <w:tblCellMar>
          <w:left w:w="70" w:type="dxa"/>
          <w:right w:w="70" w:type="dxa"/>
        </w:tblCellMar>
        <w:tblLook w:val="04A0" w:firstRow="1" w:lastRow="0" w:firstColumn="1" w:lastColumn="0" w:noHBand="0" w:noVBand="1"/>
      </w:tblPr>
      <w:tblGrid>
        <w:gridCol w:w="2639"/>
        <w:gridCol w:w="1590"/>
        <w:gridCol w:w="1889"/>
        <w:gridCol w:w="1588"/>
      </w:tblGrid>
      <w:tr w:rsidR="009F762E" w:rsidRPr="00242DFB" w14:paraId="1C8625F5" w14:textId="77777777" w:rsidTr="00F80AD4">
        <w:trPr>
          <w:cantSplit/>
          <w:trHeight w:val="247"/>
          <w:tblHeader/>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5EDD90D9"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b/>
                <w:bCs/>
                <w:color w:val="000000" w:themeColor="text1"/>
              </w:rPr>
              <w:t>Localidad</w:t>
            </w:r>
          </w:p>
        </w:tc>
        <w:tc>
          <w:tcPr>
            <w:tcW w:w="1590" w:type="dxa"/>
            <w:tcBorders>
              <w:top w:val="single" w:sz="4" w:space="0" w:color="000000"/>
              <w:left w:val="single" w:sz="4" w:space="0" w:color="000000"/>
              <w:bottom w:val="single" w:sz="4" w:space="0" w:color="000000"/>
              <w:right w:val="single" w:sz="4" w:space="0" w:color="000000"/>
            </w:tcBorders>
            <w:vAlign w:val="center"/>
          </w:tcPr>
          <w:p w14:paraId="750ABAF5"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b/>
                <w:bCs/>
                <w:color w:val="000000" w:themeColor="text1"/>
              </w:rPr>
              <w:t>Casos</w:t>
            </w:r>
          </w:p>
        </w:tc>
        <w:tc>
          <w:tcPr>
            <w:tcW w:w="1889" w:type="dxa"/>
            <w:tcBorders>
              <w:top w:val="single" w:sz="4" w:space="0" w:color="000000"/>
              <w:left w:val="single" w:sz="4" w:space="0" w:color="000000"/>
              <w:bottom w:val="single" w:sz="4" w:space="0" w:color="000000"/>
              <w:right w:val="single" w:sz="4" w:space="0" w:color="000000"/>
            </w:tcBorders>
            <w:vAlign w:val="center"/>
          </w:tcPr>
          <w:p w14:paraId="37B338F3"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b/>
                <w:bCs/>
                <w:color w:val="000000" w:themeColor="text1"/>
              </w:rPr>
              <w:t>Nacimientos</w:t>
            </w:r>
          </w:p>
        </w:tc>
        <w:tc>
          <w:tcPr>
            <w:tcW w:w="1588" w:type="dxa"/>
            <w:tcBorders>
              <w:top w:val="single" w:sz="4" w:space="0" w:color="000000"/>
              <w:left w:val="single" w:sz="4" w:space="0" w:color="000000"/>
              <w:bottom w:val="single" w:sz="4" w:space="0" w:color="000000"/>
              <w:right w:val="single" w:sz="4" w:space="0" w:color="000000"/>
            </w:tcBorders>
            <w:vAlign w:val="center"/>
          </w:tcPr>
          <w:p w14:paraId="719C8423"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b/>
                <w:bCs/>
                <w:color w:val="000000" w:themeColor="text1"/>
              </w:rPr>
              <w:t xml:space="preserve">Tasa </w:t>
            </w:r>
          </w:p>
        </w:tc>
      </w:tr>
      <w:tr w:rsidR="009F762E" w:rsidRPr="00242DFB" w14:paraId="39DE247D" w14:textId="77777777" w:rsidTr="00F80AD4">
        <w:trPr>
          <w:cantSplit/>
          <w:trHeight w:val="247"/>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616AE990"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t>1-Usaquen</w:t>
            </w:r>
          </w:p>
        </w:tc>
        <w:tc>
          <w:tcPr>
            <w:tcW w:w="1590" w:type="dxa"/>
            <w:tcBorders>
              <w:top w:val="single" w:sz="4" w:space="0" w:color="000000"/>
              <w:left w:val="single" w:sz="4" w:space="0" w:color="000000"/>
              <w:bottom w:val="single" w:sz="4" w:space="0" w:color="000000"/>
              <w:right w:val="single" w:sz="4" w:space="0" w:color="000000"/>
            </w:tcBorders>
            <w:vAlign w:val="center"/>
          </w:tcPr>
          <w:p w14:paraId="5D8F370A"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5</w:t>
            </w:r>
          </w:p>
        </w:tc>
        <w:tc>
          <w:tcPr>
            <w:tcW w:w="1889" w:type="dxa"/>
            <w:tcBorders>
              <w:top w:val="single" w:sz="4" w:space="0" w:color="000000"/>
              <w:left w:val="single" w:sz="4" w:space="0" w:color="000000"/>
              <w:bottom w:val="single" w:sz="4" w:space="0" w:color="000000"/>
              <w:right w:val="single" w:sz="4" w:space="0" w:color="000000"/>
            </w:tcBorders>
            <w:vAlign w:val="center"/>
          </w:tcPr>
          <w:p w14:paraId="5A3F72E4"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3842</w:t>
            </w:r>
          </w:p>
        </w:tc>
        <w:tc>
          <w:tcPr>
            <w:tcW w:w="1588" w:type="dxa"/>
            <w:tcBorders>
              <w:top w:val="single" w:sz="4" w:space="0" w:color="000000"/>
              <w:left w:val="single" w:sz="4" w:space="0" w:color="000000"/>
              <w:bottom w:val="single" w:sz="4" w:space="0" w:color="000000"/>
              <w:right w:val="single" w:sz="4" w:space="0" w:color="000000"/>
            </w:tcBorders>
            <w:vAlign w:val="center"/>
          </w:tcPr>
          <w:p w14:paraId="4F27831F"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1,3</w:t>
            </w:r>
          </w:p>
        </w:tc>
      </w:tr>
      <w:tr w:rsidR="009F762E" w:rsidRPr="00242DFB" w14:paraId="748FB11C"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1A2A9C4A"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t>2-Chapinero</w:t>
            </w:r>
          </w:p>
        </w:tc>
        <w:tc>
          <w:tcPr>
            <w:tcW w:w="1590" w:type="dxa"/>
            <w:tcBorders>
              <w:top w:val="single" w:sz="4" w:space="0" w:color="000000"/>
              <w:left w:val="single" w:sz="4" w:space="0" w:color="000000"/>
              <w:bottom w:val="single" w:sz="4" w:space="0" w:color="000000"/>
              <w:right w:val="single" w:sz="4" w:space="0" w:color="000000"/>
            </w:tcBorders>
            <w:vAlign w:val="center"/>
          </w:tcPr>
          <w:p w14:paraId="6FBA844B"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1</w:t>
            </w:r>
          </w:p>
        </w:tc>
        <w:tc>
          <w:tcPr>
            <w:tcW w:w="1889" w:type="dxa"/>
            <w:tcBorders>
              <w:top w:val="single" w:sz="4" w:space="0" w:color="000000"/>
              <w:left w:val="single" w:sz="4" w:space="0" w:color="000000"/>
              <w:bottom w:val="single" w:sz="4" w:space="0" w:color="000000"/>
              <w:right w:val="single" w:sz="4" w:space="0" w:color="000000"/>
            </w:tcBorders>
            <w:vAlign w:val="center"/>
          </w:tcPr>
          <w:p w14:paraId="6172210A"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1164</w:t>
            </w:r>
          </w:p>
        </w:tc>
        <w:tc>
          <w:tcPr>
            <w:tcW w:w="1588" w:type="dxa"/>
            <w:tcBorders>
              <w:top w:val="single" w:sz="4" w:space="0" w:color="000000"/>
              <w:left w:val="single" w:sz="4" w:space="0" w:color="000000"/>
              <w:bottom w:val="single" w:sz="4" w:space="0" w:color="000000"/>
              <w:right w:val="single" w:sz="4" w:space="0" w:color="000000"/>
            </w:tcBorders>
            <w:vAlign w:val="center"/>
          </w:tcPr>
          <w:p w14:paraId="726A56C5"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0,9</w:t>
            </w:r>
          </w:p>
        </w:tc>
      </w:tr>
      <w:tr w:rsidR="009F762E" w:rsidRPr="00242DFB" w14:paraId="1435C9A0"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478A6E97"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t>3-Santa Fe</w:t>
            </w:r>
          </w:p>
        </w:tc>
        <w:tc>
          <w:tcPr>
            <w:tcW w:w="1590" w:type="dxa"/>
            <w:tcBorders>
              <w:top w:val="single" w:sz="4" w:space="0" w:color="000000"/>
              <w:left w:val="single" w:sz="4" w:space="0" w:color="000000"/>
              <w:bottom w:val="single" w:sz="4" w:space="0" w:color="000000"/>
              <w:right w:val="single" w:sz="4" w:space="0" w:color="000000"/>
            </w:tcBorders>
            <w:vAlign w:val="center"/>
          </w:tcPr>
          <w:p w14:paraId="24C17498"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4</w:t>
            </w:r>
          </w:p>
        </w:tc>
        <w:tc>
          <w:tcPr>
            <w:tcW w:w="1889" w:type="dxa"/>
            <w:tcBorders>
              <w:top w:val="single" w:sz="4" w:space="0" w:color="000000"/>
              <w:left w:val="single" w:sz="4" w:space="0" w:color="000000"/>
              <w:bottom w:val="single" w:sz="4" w:space="0" w:color="000000"/>
              <w:right w:val="single" w:sz="4" w:space="0" w:color="000000"/>
            </w:tcBorders>
            <w:vAlign w:val="center"/>
          </w:tcPr>
          <w:p w14:paraId="2CA2A79D"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978</w:t>
            </w:r>
          </w:p>
        </w:tc>
        <w:tc>
          <w:tcPr>
            <w:tcW w:w="1588" w:type="dxa"/>
            <w:tcBorders>
              <w:top w:val="single" w:sz="4" w:space="0" w:color="000000"/>
              <w:left w:val="single" w:sz="4" w:space="0" w:color="000000"/>
              <w:bottom w:val="single" w:sz="4" w:space="0" w:color="000000"/>
              <w:right w:val="single" w:sz="4" w:space="0" w:color="000000"/>
            </w:tcBorders>
            <w:vAlign w:val="center"/>
          </w:tcPr>
          <w:p w14:paraId="7704F4F1"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4,1</w:t>
            </w:r>
          </w:p>
        </w:tc>
      </w:tr>
      <w:tr w:rsidR="009F762E" w:rsidRPr="00242DFB" w14:paraId="4E193582"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6E84AD34"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lastRenderedPageBreak/>
              <w:t>4-San Cristobal</w:t>
            </w:r>
          </w:p>
        </w:tc>
        <w:tc>
          <w:tcPr>
            <w:tcW w:w="1590" w:type="dxa"/>
            <w:tcBorders>
              <w:top w:val="single" w:sz="4" w:space="0" w:color="000000"/>
              <w:left w:val="single" w:sz="4" w:space="0" w:color="000000"/>
              <w:bottom w:val="single" w:sz="4" w:space="0" w:color="000000"/>
              <w:right w:val="single" w:sz="4" w:space="0" w:color="000000"/>
            </w:tcBorders>
            <w:vAlign w:val="center"/>
          </w:tcPr>
          <w:p w14:paraId="72F598ED"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6</w:t>
            </w:r>
          </w:p>
        </w:tc>
        <w:tc>
          <w:tcPr>
            <w:tcW w:w="1889" w:type="dxa"/>
            <w:tcBorders>
              <w:top w:val="single" w:sz="4" w:space="0" w:color="000000"/>
              <w:left w:val="single" w:sz="4" w:space="0" w:color="000000"/>
              <w:bottom w:val="single" w:sz="4" w:space="0" w:color="000000"/>
              <w:right w:val="single" w:sz="4" w:space="0" w:color="000000"/>
            </w:tcBorders>
            <w:vAlign w:val="center"/>
          </w:tcPr>
          <w:p w14:paraId="52F8B1CF"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2876</w:t>
            </w:r>
          </w:p>
        </w:tc>
        <w:tc>
          <w:tcPr>
            <w:tcW w:w="1588" w:type="dxa"/>
            <w:tcBorders>
              <w:top w:val="single" w:sz="4" w:space="0" w:color="000000"/>
              <w:left w:val="single" w:sz="4" w:space="0" w:color="000000"/>
              <w:bottom w:val="single" w:sz="4" w:space="0" w:color="000000"/>
              <w:right w:val="single" w:sz="4" w:space="0" w:color="000000"/>
            </w:tcBorders>
            <w:vAlign w:val="center"/>
          </w:tcPr>
          <w:p w14:paraId="29CA39D4"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2,1</w:t>
            </w:r>
          </w:p>
        </w:tc>
      </w:tr>
      <w:tr w:rsidR="009F762E" w:rsidRPr="00242DFB" w14:paraId="547591A4"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38269E9C"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t>5-Usme</w:t>
            </w:r>
          </w:p>
        </w:tc>
        <w:tc>
          <w:tcPr>
            <w:tcW w:w="1590" w:type="dxa"/>
            <w:tcBorders>
              <w:top w:val="single" w:sz="4" w:space="0" w:color="000000"/>
              <w:left w:val="single" w:sz="4" w:space="0" w:color="000000"/>
              <w:bottom w:val="single" w:sz="4" w:space="0" w:color="000000"/>
              <w:right w:val="single" w:sz="4" w:space="0" w:color="000000"/>
            </w:tcBorders>
            <w:vAlign w:val="center"/>
          </w:tcPr>
          <w:p w14:paraId="3C9F8D1B"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7</w:t>
            </w:r>
          </w:p>
        </w:tc>
        <w:tc>
          <w:tcPr>
            <w:tcW w:w="1889" w:type="dxa"/>
            <w:tcBorders>
              <w:top w:val="single" w:sz="4" w:space="0" w:color="000000"/>
              <w:left w:val="single" w:sz="4" w:space="0" w:color="000000"/>
              <w:bottom w:val="single" w:sz="4" w:space="0" w:color="000000"/>
              <w:right w:val="single" w:sz="4" w:space="0" w:color="000000"/>
            </w:tcBorders>
            <w:vAlign w:val="center"/>
          </w:tcPr>
          <w:p w14:paraId="4FF514C2"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3010</w:t>
            </w:r>
          </w:p>
        </w:tc>
        <w:tc>
          <w:tcPr>
            <w:tcW w:w="1588" w:type="dxa"/>
            <w:tcBorders>
              <w:top w:val="single" w:sz="4" w:space="0" w:color="000000"/>
              <w:left w:val="single" w:sz="4" w:space="0" w:color="000000"/>
              <w:bottom w:val="single" w:sz="4" w:space="0" w:color="000000"/>
              <w:right w:val="single" w:sz="4" w:space="0" w:color="000000"/>
            </w:tcBorders>
            <w:vAlign w:val="center"/>
          </w:tcPr>
          <w:p w14:paraId="082A290D"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2,3</w:t>
            </w:r>
          </w:p>
        </w:tc>
      </w:tr>
      <w:tr w:rsidR="009F762E" w:rsidRPr="00242DFB" w14:paraId="426BC12C"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3D612A14"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t>6-Tunjuelito</w:t>
            </w:r>
          </w:p>
        </w:tc>
        <w:tc>
          <w:tcPr>
            <w:tcW w:w="1590" w:type="dxa"/>
            <w:tcBorders>
              <w:top w:val="single" w:sz="4" w:space="0" w:color="000000"/>
              <w:left w:val="single" w:sz="4" w:space="0" w:color="000000"/>
              <w:bottom w:val="single" w:sz="4" w:space="0" w:color="000000"/>
              <w:right w:val="single" w:sz="4" w:space="0" w:color="000000"/>
            </w:tcBorders>
            <w:vAlign w:val="center"/>
          </w:tcPr>
          <w:p w14:paraId="53981183"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2</w:t>
            </w:r>
          </w:p>
        </w:tc>
        <w:tc>
          <w:tcPr>
            <w:tcW w:w="1889" w:type="dxa"/>
            <w:tcBorders>
              <w:top w:val="single" w:sz="4" w:space="0" w:color="000000"/>
              <w:left w:val="single" w:sz="4" w:space="0" w:color="000000"/>
              <w:bottom w:val="single" w:sz="4" w:space="0" w:color="000000"/>
              <w:right w:val="single" w:sz="4" w:space="0" w:color="000000"/>
            </w:tcBorders>
            <w:vAlign w:val="center"/>
          </w:tcPr>
          <w:p w14:paraId="0BE4BD0A"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1336</w:t>
            </w:r>
          </w:p>
        </w:tc>
        <w:tc>
          <w:tcPr>
            <w:tcW w:w="1588" w:type="dxa"/>
            <w:tcBorders>
              <w:top w:val="single" w:sz="4" w:space="0" w:color="000000"/>
              <w:left w:val="single" w:sz="4" w:space="0" w:color="000000"/>
              <w:bottom w:val="single" w:sz="4" w:space="0" w:color="000000"/>
              <w:right w:val="single" w:sz="4" w:space="0" w:color="000000"/>
            </w:tcBorders>
            <w:vAlign w:val="center"/>
          </w:tcPr>
          <w:p w14:paraId="6134D211"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1,5</w:t>
            </w:r>
          </w:p>
        </w:tc>
      </w:tr>
      <w:tr w:rsidR="009F762E" w:rsidRPr="00242DFB" w14:paraId="5A82B248"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3ADE9D83"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t>7-Bosa</w:t>
            </w:r>
          </w:p>
        </w:tc>
        <w:tc>
          <w:tcPr>
            <w:tcW w:w="1590" w:type="dxa"/>
            <w:tcBorders>
              <w:top w:val="single" w:sz="4" w:space="0" w:color="000000"/>
              <w:left w:val="single" w:sz="4" w:space="0" w:color="000000"/>
              <w:bottom w:val="single" w:sz="4" w:space="0" w:color="000000"/>
              <w:right w:val="single" w:sz="4" w:space="0" w:color="000000"/>
            </w:tcBorders>
            <w:vAlign w:val="center"/>
          </w:tcPr>
          <w:p w14:paraId="094D6CFB"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5</w:t>
            </w:r>
          </w:p>
        </w:tc>
        <w:tc>
          <w:tcPr>
            <w:tcW w:w="1889" w:type="dxa"/>
            <w:tcBorders>
              <w:top w:val="single" w:sz="4" w:space="0" w:color="000000"/>
              <w:left w:val="single" w:sz="4" w:space="0" w:color="000000"/>
              <w:bottom w:val="single" w:sz="4" w:space="0" w:color="000000"/>
              <w:right w:val="single" w:sz="4" w:space="0" w:color="000000"/>
            </w:tcBorders>
            <w:vAlign w:val="center"/>
          </w:tcPr>
          <w:p w14:paraId="7A5A8A1C"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5739</w:t>
            </w:r>
          </w:p>
        </w:tc>
        <w:tc>
          <w:tcPr>
            <w:tcW w:w="1588" w:type="dxa"/>
            <w:tcBorders>
              <w:top w:val="single" w:sz="4" w:space="0" w:color="000000"/>
              <w:left w:val="single" w:sz="4" w:space="0" w:color="000000"/>
              <w:bottom w:val="single" w:sz="4" w:space="0" w:color="000000"/>
              <w:right w:val="single" w:sz="4" w:space="0" w:color="000000"/>
            </w:tcBorders>
            <w:vAlign w:val="center"/>
          </w:tcPr>
          <w:p w14:paraId="7E714576"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0,9</w:t>
            </w:r>
          </w:p>
        </w:tc>
      </w:tr>
      <w:tr w:rsidR="009F762E" w:rsidRPr="00242DFB" w14:paraId="48D1BE41"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62FE5C14"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t>8-Kennedy</w:t>
            </w:r>
          </w:p>
        </w:tc>
        <w:tc>
          <w:tcPr>
            <w:tcW w:w="1590" w:type="dxa"/>
            <w:tcBorders>
              <w:top w:val="single" w:sz="4" w:space="0" w:color="000000"/>
              <w:left w:val="single" w:sz="4" w:space="0" w:color="000000"/>
              <w:bottom w:val="single" w:sz="4" w:space="0" w:color="000000"/>
              <w:right w:val="single" w:sz="4" w:space="0" w:color="000000"/>
            </w:tcBorders>
            <w:vAlign w:val="center"/>
          </w:tcPr>
          <w:p w14:paraId="531F68FF"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8</w:t>
            </w:r>
          </w:p>
        </w:tc>
        <w:tc>
          <w:tcPr>
            <w:tcW w:w="1889" w:type="dxa"/>
            <w:tcBorders>
              <w:top w:val="single" w:sz="4" w:space="0" w:color="000000"/>
              <w:left w:val="single" w:sz="4" w:space="0" w:color="000000"/>
              <w:bottom w:val="single" w:sz="4" w:space="0" w:color="000000"/>
              <w:right w:val="single" w:sz="4" w:space="0" w:color="000000"/>
            </w:tcBorders>
            <w:vAlign w:val="center"/>
          </w:tcPr>
          <w:p w14:paraId="770BD088"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7890</w:t>
            </w:r>
          </w:p>
        </w:tc>
        <w:tc>
          <w:tcPr>
            <w:tcW w:w="1588" w:type="dxa"/>
            <w:tcBorders>
              <w:top w:val="single" w:sz="4" w:space="0" w:color="000000"/>
              <w:left w:val="single" w:sz="4" w:space="0" w:color="000000"/>
              <w:bottom w:val="single" w:sz="4" w:space="0" w:color="000000"/>
              <w:right w:val="single" w:sz="4" w:space="0" w:color="000000"/>
            </w:tcBorders>
            <w:vAlign w:val="center"/>
          </w:tcPr>
          <w:p w14:paraId="1B4BDFB4"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1,0</w:t>
            </w:r>
          </w:p>
        </w:tc>
      </w:tr>
      <w:tr w:rsidR="009F762E" w:rsidRPr="00242DFB" w14:paraId="7838FB90" w14:textId="77777777" w:rsidTr="00F80AD4">
        <w:trPr>
          <w:cantSplit/>
          <w:trHeight w:val="275"/>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317C907E"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t>9-Fontibon</w:t>
            </w:r>
          </w:p>
        </w:tc>
        <w:tc>
          <w:tcPr>
            <w:tcW w:w="1590" w:type="dxa"/>
            <w:tcBorders>
              <w:top w:val="single" w:sz="4" w:space="0" w:color="000000"/>
              <w:left w:val="single" w:sz="4" w:space="0" w:color="000000"/>
              <w:bottom w:val="single" w:sz="4" w:space="0" w:color="000000"/>
              <w:right w:val="single" w:sz="4" w:space="0" w:color="000000"/>
            </w:tcBorders>
            <w:vAlign w:val="center"/>
          </w:tcPr>
          <w:p w14:paraId="12BFF330"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2</w:t>
            </w:r>
          </w:p>
        </w:tc>
        <w:tc>
          <w:tcPr>
            <w:tcW w:w="1889" w:type="dxa"/>
            <w:tcBorders>
              <w:top w:val="single" w:sz="4" w:space="0" w:color="000000"/>
              <w:left w:val="single" w:sz="4" w:space="0" w:color="000000"/>
              <w:bottom w:val="single" w:sz="4" w:space="0" w:color="000000"/>
              <w:right w:val="single" w:sz="4" w:space="0" w:color="000000"/>
            </w:tcBorders>
            <w:vAlign w:val="center"/>
          </w:tcPr>
          <w:p w14:paraId="68E141DD"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2537</w:t>
            </w:r>
          </w:p>
        </w:tc>
        <w:tc>
          <w:tcPr>
            <w:tcW w:w="1588" w:type="dxa"/>
            <w:tcBorders>
              <w:top w:val="single" w:sz="4" w:space="0" w:color="000000"/>
              <w:left w:val="single" w:sz="4" w:space="0" w:color="000000"/>
              <w:bottom w:val="single" w:sz="4" w:space="0" w:color="000000"/>
              <w:right w:val="single" w:sz="4" w:space="0" w:color="000000"/>
            </w:tcBorders>
            <w:vAlign w:val="center"/>
          </w:tcPr>
          <w:p w14:paraId="24A8BBCA"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0,8</w:t>
            </w:r>
          </w:p>
        </w:tc>
      </w:tr>
      <w:tr w:rsidR="009F762E" w:rsidRPr="00242DFB" w14:paraId="4C333859"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3D17B295"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t>10-Engativa</w:t>
            </w:r>
          </w:p>
        </w:tc>
        <w:tc>
          <w:tcPr>
            <w:tcW w:w="1590" w:type="dxa"/>
            <w:tcBorders>
              <w:top w:val="single" w:sz="4" w:space="0" w:color="000000"/>
              <w:left w:val="single" w:sz="4" w:space="0" w:color="000000"/>
              <w:bottom w:val="single" w:sz="4" w:space="0" w:color="000000"/>
              <w:right w:val="single" w:sz="4" w:space="0" w:color="000000"/>
            </w:tcBorders>
            <w:vAlign w:val="center"/>
          </w:tcPr>
          <w:p w14:paraId="512ACDED"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7</w:t>
            </w:r>
          </w:p>
        </w:tc>
        <w:tc>
          <w:tcPr>
            <w:tcW w:w="1889" w:type="dxa"/>
            <w:tcBorders>
              <w:top w:val="single" w:sz="4" w:space="0" w:color="000000"/>
              <w:left w:val="single" w:sz="4" w:space="0" w:color="000000"/>
              <w:bottom w:val="single" w:sz="4" w:space="0" w:color="000000"/>
              <w:right w:val="single" w:sz="4" w:space="0" w:color="000000"/>
            </w:tcBorders>
            <w:vAlign w:val="center"/>
          </w:tcPr>
          <w:p w14:paraId="722AE818"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5160</w:t>
            </w:r>
          </w:p>
        </w:tc>
        <w:tc>
          <w:tcPr>
            <w:tcW w:w="1588" w:type="dxa"/>
            <w:tcBorders>
              <w:top w:val="single" w:sz="4" w:space="0" w:color="000000"/>
              <w:left w:val="single" w:sz="4" w:space="0" w:color="000000"/>
              <w:bottom w:val="single" w:sz="4" w:space="0" w:color="000000"/>
              <w:right w:val="single" w:sz="4" w:space="0" w:color="000000"/>
            </w:tcBorders>
            <w:vAlign w:val="center"/>
          </w:tcPr>
          <w:p w14:paraId="7316C93E"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1,4</w:t>
            </w:r>
          </w:p>
        </w:tc>
      </w:tr>
      <w:tr w:rsidR="009F762E" w:rsidRPr="00242DFB" w14:paraId="4BD4A8C2"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64058CAA"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t>11-Suba</w:t>
            </w:r>
          </w:p>
        </w:tc>
        <w:tc>
          <w:tcPr>
            <w:tcW w:w="1590" w:type="dxa"/>
            <w:tcBorders>
              <w:top w:val="single" w:sz="4" w:space="0" w:color="000000"/>
              <w:left w:val="single" w:sz="4" w:space="0" w:color="000000"/>
              <w:bottom w:val="single" w:sz="4" w:space="0" w:color="000000"/>
              <w:right w:val="single" w:sz="4" w:space="0" w:color="000000"/>
            </w:tcBorders>
            <w:vAlign w:val="center"/>
          </w:tcPr>
          <w:p w14:paraId="43F249E6"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3</w:t>
            </w:r>
          </w:p>
        </w:tc>
        <w:tc>
          <w:tcPr>
            <w:tcW w:w="1889" w:type="dxa"/>
            <w:tcBorders>
              <w:top w:val="single" w:sz="4" w:space="0" w:color="000000"/>
              <w:left w:val="single" w:sz="4" w:space="0" w:color="000000"/>
              <w:bottom w:val="single" w:sz="4" w:space="0" w:color="000000"/>
              <w:right w:val="single" w:sz="4" w:space="0" w:color="000000"/>
            </w:tcBorders>
            <w:vAlign w:val="center"/>
          </w:tcPr>
          <w:p w14:paraId="4109C4DC"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8171</w:t>
            </w:r>
          </w:p>
        </w:tc>
        <w:tc>
          <w:tcPr>
            <w:tcW w:w="1588" w:type="dxa"/>
            <w:tcBorders>
              <w:top w:val="single" w:sz="4" w:space="0" w:color="000000"/>
              <w:left w:val="single" w:sz="4" w:space="0" w:color="000000"/>
              <w:bottom w:val="single" w:sz="4" w:space="0" w:color="000000"/>
              <w:right w:val="single" w:sz="4" w:space="0" w:color="000000"/>
            </w:tcBorders>
            <w:vAlign w:val="center"/>
          </w:tcPr>
          <w:p w14:paraId="2ED210A0"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0,4</w:t>
            </w:r>
          </w:p>
        </w:tc>
      </w:tr>
      <w:tr w:rsidR="009F762E" w:rsidRPr="00242DFB" w14:paraId="7C13DEC2"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385B0420"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t>12-Barrios Unidos</w:t>
            </w:r>
          </w:p>
        </w:tc>
        <w:tc>
          <w:tcPr>
            <w:tcW w:w="1590" w:type="dxa"/>
            <w:tcBorders>
              <w:top w:val="single" w:sz="4" w:space="0" w:color="000000"/>
              <w:left w:val="single" w:sz="4" w:space="0" w:color="000000"/>
              <w:bottom w:val="single" w:sz="4" w:space="0" w:color="000000"/>
              <w:right w:val="single" w:sz="4" w:space="0" w:color="000000"/>
            </w:tcBorders>
            <w:vAlign w:val="center"/>
          </w:tcPr>
          <w:p w14:paraId="16BA1DD0"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1</w:t>
            </w:r>
          </w:p>
        </w:tc>
        <w:tc>
          <w:tcPr>
            <w:tcW w:w="1889" w:type="dxa"/>
            <w:tcBorders>
              <w:top w:val="single" w:sz="4" w:space="0" w:color="000000"/>
              <w:left w:val="single" w:sz="4" w:space="0" w:color="000000"/>
              <w:bottom w:val="single" w:sz="4" w:space="0" w:color="000000"/>
              <w:right w:val="single" w:sz="4" w:space="0" w:color="000000"/>
            </w:tcBorders>
            <w:vAlign w:val="center"/>
          </w:tcPr>
          <w:p w14:paraId="7D167466"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894</w:t>
            </w:r>
          </w:p>
        </w:tc>
        <w:tc>
          <w:tcPr>
            <w:tcW w:w="1588" w:type="dxa"/>
            <w:tcBorders>
              <w:top w:val="single" w:sz="4" w:space="0" w:color="000000"/>
              <w:left w:val="single" w:sz="4" w:space="0" w:color="000000"/>
              <w:bottom w:val="single" w:sz="4" w:space="0" w:color="000000"/>
              <w:right w:val="single" w:sz="4" w:space="0" w:color="000000"/>
            </w:tcBorders>
            <w:vAlign w:val="center"/>
          </w:tcPr>
          <w:p w14:paraId="617C63F7"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1,1</w:t>
            </w:r>
          </w:p>
        </w:tc>
      </w:tr>
      <w:tr w:rsidR="009F762E" w:rsidRPr="00242DFB" w14:paraId="5600E397"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2155A520"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t>13-Teusaquillo</w:t>
            </w:r>
          </w:p>
        </w:tc>
        <w:tc>
          <w:tcPr>
            <w:tcW w:w="1590" w:type="dxa"/>
            <w:tcBorders>
              <w:top w:val="single" w:sz="4" w:space="0" w:color="000000"/>
              <w:left w:val="single" w:sz="4" w:space="0" w:color="000000"/>
              <w:bottom w:val="single" w:sz="4" w:space="0" w:color="000000"/>
              <w:right w:val="single" w:sz="4" w:space="0" w:color="000000"/>
            </w:tcBorders>
            <w:vAlign w:val="center"/>
          </w:tcPr>
          <w:p w14:paraId="6DAC7EC9"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0</w:t>
            </w:r>
          </w:p>
        </w:tc>
        <w:tc>
          <w:tcPr>
            <w:tcW w:w="1889" w:type="dxa"/>
            <w:tcBorders>
              <w:top w:val="single" w:sz="4" w:space="0" w:color="000000"/>
              <w:left w:val="single" w:sz="4" w:space="0" w:color="000000"/>
              <w:bottom w:val="single" w:sz="4" w:space="0" w:color="000000"/>
              <w:right w:val="single" w:sz="4" w:space="0" w:color="000000"/>
            </w:tcBorders>
            <w:vAlign w:val="center"/>
          </w:tcPr>
          <w:p w14:paraId="0D88CDC6"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781</w:t>
            </w:r>
          </w:p>
        </w:tc>
        <w:tc>
          <w:tcPr>
            <w:tcW w:w="1588" w:type="dxa"/>
            <w:tcBorders>
              <w:top w:val="single" w:sz="4" w:space="0" w:color="000000"/>
              <w:left w:val="single" w:sz="4" w:space="0" w:color="000000"/>
              <w:bottom w:val="single" w:sz="4" w:space="0" w:color="000000"/>
              <w:right w:val="single" w:sz="4" w:space="0" w:color="000000"/>
            </w:tcBorders>
            <w:vAlign w:val="center"/>
          </w:tcPr>
          <w:p w14:paraId="544AD602"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0,0</w:t>
            </w:r>
          </w:p>
        </w:tc>
      </w:tr>
      <w:tr w:rsidR="009F762E" w:rsidRPr="00242DFB" w14:paraId="2266A576"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7B280207"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t>14-Mártires</w:t>
            </w:r>
          </w:p>
        </w:tc>
        <w:tc>
          <w:tcPr>
            <w:tcW w:w="1590" w:type="dxa"/>
            <w:tcBorders>
              <w:top w:val="single" w:sz="4" w:space="0" w:color="000000"/>
              <w:left w:val="single" w:sz="4" w:space="0" w:color="000000"/>
              <w:bottom w:val="single" w:sz="4" w:space="0" w:color="000000"/>
              <w:right w:val="single" w:sz="4" w:space="0" w:color="000000"/>
            </w:tcBorders>
            <w:vAlign w:val="center"/>
          </w:tcPr>
          <w:p w14:paraId="48E2AF25"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1</w:t>
            </w:r>
          </w:p>
        </w:tc>
        <w:tc>
          <w:tcPr>
            <w:tcW w:w="1889" w:type="dxa"/>
            <w:tcBorders>
              <w:top w:val="single" w:sz="4" w:space="0" w:color="000000"/>
              <w:left w:val="single" w:sz="4" w:space="0" w:color="000000"/>
              <w:bottom w:val="single" w:sz="4" w:space="0" w:color="000000"/>
              <w:right w:val="single" w:sz="4" w:space="0" w:color="000000"/>
            </w:tcBorders>
            <w:vAlign w:val="center"/>
          </w:tcPr>
          <w:p w14:paraId="3B65E7CC"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872</w:t>
            </w:r>
          </w:p>
        </w:tc>
        <w:tc>
          <w:tcPr>
            <w:tcW w:w="1588" w:type="dxa"/>
            <w:tcBorders>
              <w:top w:val="single" w:sz="4" w:space="0" w:color="000000"/>
              <w:left w:val="single" w:sz="4" w:space="0" w:color="000000"/>
              <w:bottom w:val="single" w:sz="4" w:space="0" w:color="000000"/>
              <w:right w:val="single" w:sz="4" w:space="0" w:color="000000"/>
            </w:tcBorders>
            <w:vAlign w:val="center"/>
          </w:tcPr>
          <w:p w14:paraId="4F7A5047"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1,1</w:t>
            </w:r>
          </w:p>
        </w:tc>
      </w:tr>
      <w:tr w:rsidR="009F762E" w:rsidRPr="00242DFB" w14:paraId="5B73283A"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56E66866"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t>15-Antonio Nariño</w:t>
            </w:r>
          </w:p>
        </w:tc>
        <w:tc>
          <w:tcPr>
            <w:tcW w:w="1590" w:type="dxa"/>
            <w:tcBorders>
              <w:top w:val="single" w:sz="4" w:space="0" w:color="000000"/>
              <w:left w:val="single" w:sz="4" w:space="0" w:color="000000"/>
              <w:bottom w:val="single" w:sz="4" w:space="0" w:color="000000"/>
              <w:right w:val="single" w:sz="4" w:space="0" w:color="000000"/>
            </w:tcBorders>
            <w:vAlign w:val="center"/>
          </w:tcPr>
          <w:p w14:paraId="603FE44C"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3</w:t>
            </w:r>
          </w:p>
        </w:tc>
        <w:tc>
          <w:tcPr>
            <w:tcW w:w="1889" w:type="dxa"/>
            <w:tcBorders>
              <w:top w:val="single" w:sz="4" w:space="0" w:color="000000"/>
              <w:left w:val="single" w:sz="4" w:space="0" w:color="000000"/>
              <w:bottom w:val="single" w:sz="4" w:space="0" w:color="000000"/>
              <w:right w:val="single" w:sz="4" w:space="0" w:color="000000"/>
            </w:tcBorders>
            <w:vAlign w:val="center"/>
          </w:tcPr>
          <w:p w14:paraId="0E26303F"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621</w:t>
            </w:r>
          </w:p>
        </w:tc>
        <w:tc>
          <w:tcPr>
            <w:tcW w:w="1588" w:type="dxa"/>
            <w:tcBorders>
              <w:top w:val="single" w:sz="4" w:space="0" w:color="000000"/>
              <w:left w:val="single" w:sz="4" w:space="0" w:color="000000"/>
              <w:bottom w:val="single" w:sz="4" w:space="0" w:color="000000"/>
              <w:right w:val="single" w:sz="4" w:space="0" w:color="000000"/>
            </w:tcBorders>
            <w:vAlign w:val="center"/>
          </w:tcPr>
          <w:p w14:paraId="6A15A54B"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4,8</w:t>
            </w:r>
          </w:p>
        </w:tc>
      </w:tr>
      <w:tr w:rsidR="009F762E" w:rsidRPr="00242DFB" w14:paraId="45A98C04"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6BDB2E2E"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t>16-Puente Aranda</w:t>
            </w:r>
          </w:p>
        </w:tc>
        <w:tc>
          <w:tcPr>
            <w:tcW w:w="1590" w:type="dxa"/>
            <w:tcBorders>
              <w:top w:val="single" w:sz="4" w:space="0" w:color="000000"/>
              <w:left w:val="single" w:sz="4" w:space="0" w:color="000000"/>
              <w:bottom w:val="single" w:sz="4" w:space="0" w:color="000000"/>
              <w:right w:val="single" w:sz="4" w:space="0" w:color="000000"/>
            </w:tcBorders>
            <w:vAlign w:val="center"/>
          </w:tcPr>
          <w:p w14:paraId="5287973E"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1</w:t>
            </w:r>
          </w:p>
        </w:tc>
        <w:tc>
          <w:tcPr>
            <w:tcW w:w="1889" w:type="dxa"/>
            <w:tcBorders>
              <w:top w:val="single" w:sz="4" w:space="0" w:color="000000"/>
              <w:left w:val="single" w:sz="4" w:space="0" w:color="000000"/>
              <w:bottom w:val="single" w:sz="4" w:space="0" w:color="000000"/>
              <w:right w:val="single" w:sz="4" w:space="0" w:color="000000"/>
            </w:tcBorders>
            <w:vAlign w:val="center"/>
          </w:tcPr>
          <w:p w14:paraId="36C1FB2B"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1618</w:t>
            </w:r>
          </w:p>
        </w:tc>
        <w:tc>
          <w:tcPr>
            <w:tcW w:w="1588" w:type="dxa"/>
            <w:tcBorders>
              <w:top w:val="single" w:sz="4" w:space="0" w:color="000000"/>
              <w:left w:val="single" w:sz="4" w:space="0" w:color="000000"/>
              <w:bottom w:val="single" w:sz="4" w:space="0" w:color="000000"/>
              <w:right w:val="single" w:sz="4" w:space="0" w:color="000000"/>
            </w:tcBorders>
            <w:vAlign w:val="center"/>
          </w:tcPr>
          <w:p w14:paraId="4ACD6BB3"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0,6</w:t>
            </w:r>
          </w:p>
        </w:tc>
      </w:tr>
      <w:tr w:rsidR="009F762E" w:rsidRPr="00242DFB" w14:paraId="5DB9FF57"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146D5511"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t>17-Candelaria</w:t>
            </w:r>
          </w:p>
        </w:tc>
        <w:tc>
          <w:tcPr>
            <w:tcW w:w="1590" w:type="dxa"/>
            <w:tcBorders>
              <w:top w:val="single" w:sz="4" w:space="0" w:color="000000"/>
              <w:left w:val="single" w:sz="4" w:space="0" w:color="000000"/>
              <w:bottom w:val="single" w:sz="4" w:space="0" w:color="000000"/>
              <w:right w:val="single" w:sz="4" w:space="0" w:color="000000"/>
            </w:tcBorders>
            <w:vAlign w:val="center"/>
          </w:tcPr>
          <w:p w14:paraId="416517F6"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0</w:t>
            </w:r>
          </w:p>
        </w:tc>
        <w:tc>
          <w:tcPr>
            <w:tcW w:w="1889" w:type="dxa"/>
            <w:tcBorders>
              <w:top w:val="single" w:sz="4" w:space="0" w:color="000000"/>
              <w:left w:val="single" w:sz="4" w:space="0" w:color="000000"/>
              <w:bottom w:val="single" w:sz="4" w:space="0" w:color="000000"/>
              <w:right w:val="single" w:sz="4" w:space="0" w:color="000000"/>
            </w:tcBorders>
            <w:vAlign w:val="center"/>
          </w:tcPr>
          <w:p w14:paraId="5E550757"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152</w:t>
            </w:r>
          </w:p>
        </w:tc>
        <w:tc>
          <w:tcPr>
            <w:tcW w:w="1588" w:type="dxa"/>
            <w:tcBorders>
              <w:top w:val="single" w:sz="4" w:space="0" w:color="000000"/>
              <w:left w:val="single" w:sz="4" w:space="0" w:color="000000"/>
              <w:bottom w:val="single" w:sz="4" w:space="0" w:color="000000"/>
              <w:right w:val="single" w:sz="4" w:space="0" w:color="000000"/>
            </w:tcBorders>
            <w:vAlign w:val="center"/>
          </w:tcPr>
          <w:p w14:paraId="7F077FAD"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0,0</w:t>
            </w:r>
          </w:p>
        </w:tc>
      </w:tr>
      <w:tr w:rsidR="009F762E" w:rsidRPr="00242DFB" w14:paraId="6B2AF4D9"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4385913C"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t>18-Rafael Uribe</w:t>
            </w:r>
          </w:p>
        </w:tc>
        <w:tc>
          <w:tcPr>
            <w:tcW w:w="1590" w:type="dxa"/>
            <w:tcBorders>
              <w:top w:val="single" w:sz="4" w:space="0" w:color="000000"/>
              <w:left w:val="single" w:sz="4" w:space="0" w:color="000000"/>
              <w:bottom w:val="single" w:sz="4" w:space="0" w:color="000000"/>
              <w:right w:val="single" w:sz="4" w:space="0" w:color="000000"/>
            </w:tcBorders>
            <w:vAlign w:val="center"/>
          </w:tcPr>
          <w:p w14:paraId="76218276"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1</w:t>
            </w:r>
          </w:p>
        </w:tc>
        <w:tc>
          <w:tcPr>
            <w:tcW w:w="1889" w:type="dxa"/>
            <w:tcBorders>
              <w:top w:val="single" w:sz="4" w:space="0" w:color="000000"/>
              <w:left w:val="single" w:sz="4" w:space="0" w:color="000000"/>
              <w:bottom w:val="single" w:sz="4" w:space="0" w:color="000000"/>
              <w:right w:val="single" w:sz="4" w:space="0" w:color="000000"/>
            </w:tcBorders>
            <w:vAlign w:val="center"/>
          </w:tcPr>
          <w:p w14:paraId="7E96D6A2"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2915</w:t>
            </w:r>
          </w:p>
        </w:tc>
        <w:tc>
          <w:tcPr>
            <w:tcW w:w="1588" w:type="dxa"/>
            <w:tcBorders>
              <w:top w:val="single" w:sz="4" w:space="0" w:color="000000"/>
              <w:left w:val="single" w:sz="4" w:space="0" w:color="000000"/>
              <w:bottom w:val="single" w:sz="4" w:space="0" w:color="000000"/>
              <w:right w:val="single" w:sz="4" w:space="0" w:color="000000"/>
            </w:tcBorders>
            <w:vAlign w:val="center"/>
          </w:tcPr>
          <w:p w14:paraId="7BB50919"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0,3</w:t>
            </w:r>
          </w:p>
        </w:tc>
      </w:tr>
      <w:tr w:rsidR="009F762E" w:rsidRPr="00242DFB" w14:paraId="6595D96E"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6A0010E8"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t>19-Ciudad Bolívar</w:t>
            </w:r>
          </w:p>
        </w:tc>
        <w:tc>
          <w:tcPr>
            <w:tcW w:w="1590" w:type="dxa"/>
            <w:tcBorders>
              <w:top w:val="single" w:sz="4" w:space="0" w:color="000000"/>
              <w:left w:val="single" w:sz="4" w:space="0" w:color="000000"/>
              <w:bottom w:val="single" w:sz="4" w:space="0" w:color="000000"/>
              <w:right w:val="single" w:sz="4" w:space="0" w:color="000000"/>
            </w:tcBorders>
            <w:vAlign w:val="center"/>
          </w:tcPr>
          <w:p w14:paraId="1F9579A9"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10</w:t>
            </w:r>
          </w:p>
        </w:tc>
        <w:tc>
          <w:tcPr>
            <w:tcW w:w="1889" w:type="dxa"/>
            <w:tcBorders>
              <w:top w:val="single" w:sz="4" w:space="0" w:color="000000"/>
              <w:left w:val="single" w:sz="4" w:space="0" w:color="000000"/>
              <w:bottom w:val="single" w:sz="4" w:space="0" w:color="000000"/>
              <w:right w:val="single" w:sz="4" w:space="0" w:color="000000"/>
            </w:tcBorders>
            <w:vAlign w:val="center"/>
          </w:tcPr>
          <w:p w14:paraId="44691904"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5969</w:t>
            </w:r>
          </w:p>
        </w:tc>
        <w:tc>
          <w:tcPr>
            <w:tcW w:w="1588" w:type="dxa"/>
            <w:tcBorders>
              <w:top w:val="single" w:sz="4" w:space="0" w:color="000000"/>
              <w:left w:val="single" w:sz="4" w:space="0" w:color="000000"/>
              <w:bottom w:val="single" w:sz="4" w:space="0" w:color="000000"/>
              <w:right w:val="single" w:sz="4" w:space="0" w:color="000000"/>
            </w:tcBorders>
            <w:vAlign w:val="center"/>
          </w:tcPr>
          <w:p w14:paraId="0EF19961"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1,7</w:t>
            </w:r>
          </w:p>
        </w:tc>
      </w:tr>
      <w:tr w:rsidR="009F762E" w:rsidRPr="00242DFB" w14:paraId="11986ACA"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40C33DD5"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t>20-Sumapaz</w:t>
            </w:r>
          </w:p>
        </w:tc>
        <w:tc>
          <w:tcPr>
            <w:tcW w:w="1590" w:type="dxa"/>
            <w:tcBorders>
              <w:top w:val="single" w:sz="4" w:space="0" w:color="000000"/>
              <w:left w:val="single" w:sz="4" w:space="0" w:color="000000"/>
              <w:bottom w:val="single" w:sz="4" w:space="0" w:color="000000"/>
              <w:right w:val="single" w:sz="4" w:space="0" w:color="000000"/>
            </w:tcBorders>
            <w:vAlign w:val="center"/>
          </w:tcPr>
          <w:p w14:paraId="1D27EB4C"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0</w:t>
            </w:r>
          </w:p>
        </w:tc>
        <w:tc>
          <w:tcPr>
            <w:tcW w:w="1889" w:type="dxa"/>
            <w:tcBorders>
              <w:top w:val="single" w:sz="4" w:space="0" w:color="000000"/>
              <w:left w:val="single" w:sz="4" w:space="0" w:color="000000"/>
              <w:bottom w:val="single" w:sz="4" w:space="0" w:color="000000"/>
              <w:right w:val="single" w:sz="4" w:space="0" w:color="000000"/>
            </w:tcBorders>
            <w:vAlign w:val="center"/>
          </w:tcPr>
          <w:p w14:paraId="1F7A9110"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15</w:t>
            </w:r>
          </w:p>
        </w:tc>
        <w:tc>
          <w:tcPr>
            <w:tcW w:w="1588" w:type="dxa"/>
            <w:tcBorders>
              <w:top w:val="single" w:sz="4" w:space="0" w:color="000000"/>
              <w:left w:val="single" w:sz="4" w:space="0" w:color="000000"/>
              <w:bottom w:val="single" w:sz="4" w:space="0" w:color="000000"/>
              <w:right w:val="single" w:sz="4" w:space="0" w:color="000000"/>
            </w:tcBorders>
            <w:vAlign w:val="center"/>
          </w:tcPr>
          <w:p w14:paraId="3C1BCD1B"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0,0</w:t>
            </w:r>
          </w:p>
        </w:tc>
      </w:tr>
      <w:tr w:rsidR="009F762E" w:rsidRPr="00242DFB" w14:paraId="5877D387" w14:textId="77777777" w:rsidTr="00F80AD4">
        <w:trPr>
          <w:cantSplit/>
          <w:trHeight w:val="247"/>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1F458307" w14:textId="77777777" w:rsidR="009F762E" w:rsidRPr="00242DFB" w:rsidRDefault="00000000" w:rsidP="002A0E52">
            <w:pPr>
              <w:spacing w:line="360" w:lineRule="auto"/>
              <w:rPr>
                <w:rFonts w:ascii="Arial" w:hAnsi="Arial" w:cs="Arial"/>
                <w:color w:val="000000" w:themeColor="text1"/>
              </w:rPr>
            </w:pPr>
            <w:r w:rsidRPr="00242DFB">
              <w:rPr>
                <w:rFonts w:ascii="Arial" w:eastAsia="Aptos Narrow" w:hAnsi="Arial" w:cs="Arial"/>
                <w:color w:val="000000" w:themeColor="text1"/>
              </w:rPr>
              <w:t>Sin dato de localidad</w:t>
            </w:r>
          </w:p>
        </w:tc>
        <w:tc>
          <w:tcPr>
            <w:tcW w:w="1590" w:type="dxa"/>
            <w:tcBorders>
              <w:top w:val="single" w:sz="4" w:space="0" w:color="000000"/>
              <w:left w:val="single" w:sz="4" w:space="0" w:color="000000"/>
              <w:bottom w:val="single" w:sz="4" w:space="0" w:color="000000"/>
              <w:right w:val="single" w:sz="4" w:space="0" w:color="000000"/>
            </w:tcBorders>
            <w:vAlign w:val="center"/>
          </w:tcPr>
          <w:p w14:paraId="48C06D7F"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0</w:t>
            </w:r>
          </w:p>
        </w:tc>
        <w:tc>
          <w:tcPr>
            <w:tcW w:w="1889" w:type="dxa"/>
            <w:tcBorders>
              <w:top w:val="single" w:sz="4" w:space="0" w:color="000000"/>
              <w:left w:val="single" w:sz="4" w:space="0" w:color="000000"/>
              <w:bottom w:val="single" w:sz="4" w:space="0" w:color="000000"/>
              <w:right w:val="single" w:sz="4" w:space="0" w:color="000000"/>
            </w:tcBorders>
            <w:vAlign w:val="center"/>
          </w:tcPr>
          <w:p w14:paraId="193585B1"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1</w:t>
            </w:r>
          </w:p>
        </w:tc>
        <w:tc>
          <w:tcPr>
            <w:tcW w:w="1588" w:type="dxa"/>
            <w:tcBorders>
              <w:top w:val="single" w:sz="4" w:space="0" w:color="000000"/>
              <w:left w:val="single" w:sz="4" w:space="0" w:color="000000"/>
              <w:bottom w:val="single" w:sz="4" w:space="0" w:color="000000"/>
              <w:right w:val="single" w:sz="4" w:space="0" w:color="000000"/>
            </w:tcBorders>
            <w:vAlign w:val="center"/>
          </w:tcPr>
          <w:p w14:paraId="3556A800"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color w:val="000000" w:themeColor="text1"/>
              </w:rPr>
              <w:t>0,0</w:t>
            </w:r>
          </w:p>
        </w:tc>
      </w:tr>
      <w:tr w:rsidR="009F762E" w:rsidRPr="00242DFB" w14:paraId="610801EA" w14:textId="77777777" w:rsidTr="00F80AD4">
        <w:trPr>
          <w:cantSplit/>
          <w:trHeight w:val="247"/>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07FABF7B"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b/>
                <w:bCs/>
                <w:color w:val="000000" w:themeColor="text1"/>
              </w:rPr>
              <w:t xml:space="preserve">TOTAL </w:t>
            </w:r>
          </w:p>
        </w:tc>
        <w:tc>
          <w:tcPr>
            <w:tcW w:w="1590" w:type="dxa"/>
            <w:tcBorders>
              <w:top w:val="single" w:sz="4" w:space="0" w:color="000000"/>
              <w:left w:val="single" w:sz="4" w:space="0" w:color="000000"/>
              <w:bottom w:val="single" w:sz="4" w:space="0" w:color="000000"/>
              <w:right w:val="single" w:sz="4" w:space="0" w:color="000000"/>
            </w:tcBorders>
            <w:vAlign w:val="center"/>
          </w:tcPr>
          <w:p w14:paraId="39909891"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b/>
                <w:bCs/>
                <w:color w:val="000000" w:themeColor="text1"/>
              </w:rPr>
              <w:t>67</w:t>
            </w:r>
          </w:p>
        </w:tc>
        <w:tc>
          <w:tcPr>
            <w:tcW w:w="1889" w:type="dxa"/>
            <w:tcBorders>
              <w:top w:val="single" w:sz="4" w:space="0" w:color="000000"/>
              <w:left w:val="single" w:sz="4" w:space="0" w:color="000000"/>
              <w:bottom w:val="single" w:sz="4" w:space="0" w:color="000000"/>
              <w:right w:val="single" w:sz="4" w:space="0" w:color="000000"/>
            </w:tcBorders>
            <w:vAlign w:val="center"/>
          </w:tcPr>
          <w:p w14:paraId="7B39C611"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b/>
                <w:bCs/>
                <w:color w:val="000000" w:themeColor="text1"/>
              </w:rPr>
              <w:t>56541</w:t>
            </w:r>
          </w:p>
        </w:tc>
        <w:tc>
          <w:tcPr>
            <w:tcW w:w="1588" w:type="dxa"/>
            <w:tcBorders>
              <w:top w:val="single" w:sz="4" w:space="0" w:color="000000"/>
              <w:left w:val="single" w:sz="4" w:space="0" w:color="000000"/>
              <w:bottom w:val="single" w:sz="4" w:space="0" w:color="000000"/>
              <w:right w:val="single" w:sz="4" w:space="0" w:color="000000"/>
            </w:tcBorders>
            <w:vAlign w:val="center"/>
          </w:tcPr>
          <w:p w14:paraId="727080BF"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ptos Narrow" w:hAnsi="Arial" w:cs="Arial"/>
                <w:b/>
                <w:bCs/>
                <w:color w:val="000000" w:themeColor="text1"/>
              </w:rPr>
              <w:t>1,18</w:t>
            </w:r>
          </w:p>
        </w:tc>
      </w:tr>
    </w:tbl>
    <w:p w14:paraId="0B3E68D2" w14:textId="77777777" w:rsidR="009F762E" w:rsidRPr="00242DFB" w:rsidRDefault="00000000" w:rsidP="00F80AD4">
      <w:pPr>
        <w:spacing w:line="360" w:lineRule="auto"/>
        <w:jc w:val="both"/>
        <w:rPr>
          <w:rFonts w:ascii="Arial" w:hAnsi="Arial" w:cs="Arial"/>
          <w:color w:val="000000" w:themeColor="text1"/>
          <w:sz w:val="16"/>
          <w:szCs w:val="16"/>
        </w:rPr>
      </w:pPr>
      <w:r w:rsidRPr="00242DFB">
        <w:rPr>
          <w:rFonts w:ascii="Arial" w:eastAsia="Arial" w:hAnsi="Arial" w:cs="Arial"/>
          <w:color w:val="000000"/>
          <w:sz w:val="16"/>
          <w:szCs w:val="16"/>
        </w:rPr>
        <w:t>Fuente 2025: Aplicativo RUAF-ND. Sistema de Estadísticas Vitales SDS -EEVV-PRELIMINARES ajustado 10-12-2025</w:t>
      </w:r>
    </w:p>
    <w:p w14:paraId="7447E899" w14:textId="77777777" w:rsidR="009F762E" w:rsidRPr="00242DFB" w:rsidRDefault="009F762E" w:rsidP="00E83BF7">
      <w:pPr>
        <w:spacing w:line="360" w:lineRule="auto"/>
        <w:jc w:val="center"/>
        <w:rPr>
          <w:rFonts w:ascii="Arial" w:hAnsi="Arial" w:cs="Arial"/>
          <w:color w:val="000000" w:themeColor="text1"/>
        </w:rPr>
      </w:pPr>
    </w:p>
    <w:p w14:paraId="277E52A8" w14:textId="77777777" w:rsidR="00E83BF7" w:rsidRPr="00E83BF7" w:rsidRDefault="00E83BF7" w:rsidP="00E83BF7">
      <w:pPr>
        <w:spacing w:line="360" w:lineRule="auto"/>
        <w:jc w:val="both"/>
        <w:rPr>
          <w:rFonts w:ascii="Arial" w:hAnsi="Arial" w:cs="Arial"/>
          <w:color w:val="000000" w:themeColor="text1"/>
        </w:rPr>
      </w:pPr>
      <w:r w:rsidRPr="00E83BF7">
        <w:rPr>
          <w:rFonts w:ascii="Arial" w:hAnsi="Arial" w:cs="Arial"/>
          <w:color w:val="000000" w:themeColor="text1"/>
        </w:rPr>
        <w:t>El comportamiento territorial muestra una distribución heterogénea entre localidades, por lo que el análisis debe diferenciar entre la carga absoluta de casos y la tasa específica por nacidos vivos. En términos de volumen, las localidades con mayor número de casos fueron Ciudad Bolívar, con 10 eventos; Kennedy, con 8; y Usme y Engativá, con 7 casos cada una. Estas localidades concentran un número importante de nacimientos y alta densidad poblacional, por lo que deben considerarse territorios prioritarios para vigilancia epidemiológica, seguimiento nominal de gestantes, recién nacidos y lactantes, fortalecimiento de la red primaria y análisis de barreras de acceso.</w:t>
      </w:r>
    </w:p>
    <w:p w14:paraId="3435D0B9" w14:textId="77777777" w:rsidR="00E83BF7" w:rsidRPr="00242DFB" w:rsidRDefault="00E83BF7" w:rsidP="00E83BF7">
      <w:pPr>
        <w:spacing w:line="360" w:lineRule="auto"/>
        <w:jc w:val="both"/>
        <w:rPr>
          <w:rFonts w:ascii="Arial" w:hAnsi="Arial" w:cs="Arial"/>
          <w:color w:val="000000" w:themeColor="text1"/>
        </w:rPr>
      </w:pPr>
      <w:r w:rsidRPr="00E83BF7">
        <w:rPr>
          <w:rFonts w:ascii="Arial" w:hAnsi="Arial" w:cs="Arial"/>
          <w:color w:val="000000" w:themeColor="text1"/>
        </w:rPr>
        <w:lastRenderedPageBreak/>
        <w:t>Desde la lectura de tasas, se identifican valores superiores al promedio general de Capital Salud EPS-S en Antonio Nariño, con 4,8 casos por cada 1.000 nacidos vivos; Santa Fe, con 4,1; Usme, con 2,3; y San Cristóbal, con 2,1. Estos resultados sugieren posibles concentraciones de riesgo que requieren revisión específica de los casos, incluyendo antecedentes maternos, oportunidad del control prenatal, condiciones del parto, acceso a servicios neonatales, seguimiento posterior al nacimiento y respuesta de la red ante signos de alarma.</w:t>
      </w:r>
    </w:p>
    <w:p w14:paraId="3C59B6DD" w14:textId="77777777" w:rsidR="00131048" w:rsidRPr="00E83BF7" w:rsidRDefault="00131048" w:rsidP="00E83BF7">
      <w:pPr>
        <w:spacing w:line="360" w:lineRule="auto"/>
        <w:jc w:val="both"/>
        <w:rPr>
          <w:rFonts w:ascii="Arial" w:hAnsi="Arial" w:cs="Arial"/>
          <w:color w:val="000000" w:themeColor="text1"/>
        </w:rPr>
      </w:pPr>
    </w:p>
    <w:p w14:paraId="0F9523F3" w14:textId="77777777" w:rsidR="00E83BF7" w:rsidRPr="00242DFB" w:rsidRDefault="00E83BF7" w:rsidP="00E83BF7">
      <w:pPr>
        <w:spacing w:line="360" w:lineRule="auto"/>
        <w:jc w:val="both"/>
        <w:rPr>
          <w:rFonts w:ascii="Arial" w:hAnsi="Arial" w:cs="Arial"/>
          <w:color w:val="000000" w:themeColor="text1"/>
        </w:rPr>
      </w:pPr>
      <w:r w:rsidRPr="00E83BF7">
        <w:rPr>
          <w:rFonts w:ascii="Arial" w:hAnsi="Arial" w:cs="Arial"/>
          <w:color w:val="000000" w:themeColor="text1"/>
        </w:rPr>
        <w:t>No obstante, la interpretación de las tasas en localidades con bajo número de nacimientos debe realizarse con cautela, dado que pequeños cambios en el número de casos pueden generar variaciones importantes en el indicador. Este es el caso de Antonio Nariño, donde 3 casos sobre 621 nacimientos generan la tasa más alta de la tabla, y de Santa Fe, donde 4 casos sobre 978 nacimientos producen una tasa superior al promedio general. Por tanto, estas localidades deben priorizarse para análisis cualitativo y revisión caso a caso, más que para conclusiones basadas únicamente en el volumen absoluto.</w:t>
      </w:r>
    </w:p>
    <w:p w14:paraId="36EF4973" w14:textId="77777777" w:rsidR="00131048" w:rsidRPr="00E83BF7" w:rsidRDefault="00131048" w:rsidP="00E83BF7">
      <w:pPr>
        <w:spacing w:line="360" w:lineRule="auto"/>
        <w:jc w:val="both"/>
        <w:rPr>
          <w:rFonts w:ascii="Arial" w:hAnsi="Arial" w:cs="Arial"/>
          <w:color w:val="000000" w:themeColor="text1"/>
        </w:rPr>
      </w:pPr>
    </w:p>
    <w:p w14:paraId="6790D37A" w14:textId="77777777" w:rsidR="00E83BF7" w:rsidRPr="00242DFB" w:rsidRDefault="00E83BF7" w:rsidP="00E83BF7">
      <w:pPr>
        <w:spacing w:line="360" w:lineRule="auto"/>
        <w:jc w:val="both"/>
        <w:rPr>
          <w:rFonts w:ascii="Arial" w:hAnsi="Arial" w:cs="Arial"/>
          <w:color w:val="000000" w:themeColor="text1"/>
        </w:rPr>
      </w:pPr>
      <w:r w:rsidRPr="00E83BF7">
        <w:rPr>
          <w:rFonts w:ascii="Arial" w:hAnsi="Arial" w:cs="Arial"/>
          <w:color w:val="000000" w:themeColor="text1"/>
        </w:rPr>
        <w:t>En contraste, localidades con alto número de nacimientos, como Suba, Bosa y Kennedy, presentan tasas inferiores o cercanas al promedio general de Capital Salud EPS-S. Este comportamiento indica que el mayor volumen poblacional no necesariamente se traduce en mayor riesgo relativo; sin embargo, por el tamaño de su cohorte materno-infantil, estas localidades deben mantenerse dentro del monitoreo regular y del seguimiento nominal de eventos trazadores.</w:t>
      </w:r>
    </w:p>
    <w:p w14:paraId="2EE6E635" w14:textId="77777777" w:rsidR="00131048" w:rsidRPr="00E83BF7" w:rsidRDefault="00131048" w:rsidP="00E83BF7">
      <w:pPr>
        <w:spacing w:line="360" w:lineRule="auto"/>
        <w:jc w:val="both"/>
        <w:rPr>
          <w:rFonts w:ascii="Arial" w:hAnsi="Arial" w:cs="Arial"/>
          <w:color w:val="000000" w:themeColor="text1"/>
        </w:rPr>
      </w:pPr>
    </w:p>
    <w:p w14:paraId="3A0DE3FC" w14:textId="77777777" w:rsidR="00E83BF7" w:rsidRPr="00242DFB" w:rsidRDefault="00E83BF7" w:rsidP="00E83BF7">
      <w:pPr>
        <w:spacing w:line="360" w:lineRule="auto"/>
        <w:jc w:val="both"/>
        <w:rPr>
          <w:rFonts w:ascii="Arial" w:hAnsi="Arial" w:cs="Arial"/>
          <w:color w:val="000000" w:themeColor="text1"/>
        </w:rPr>
      </w:pPr>
      <w:r w:rsidRPr="00E83BF7">
        <w:rPr>
          <w:rFonts w:ascii="Arial" w:hAnsi="Arial" w:cs="Arial"/>
          <w:color w:val="000000" w:themeColor="text1"/>
        </w:rPr>
        <w:t>Por otra parte, Teusaquillo, La Candelaria y Sumapaz no registraron eventos durante el periodo analizado. Aunque este resultado es favorable, debe interpretarse considerando el bajo volumen de nacimientos en algunas de estas localidades, especialmente Sumapaz y La Candelaria, donde el denominador poblacional es reducido.</w:t>
      </w:r>
    </w:p>
    <w:p w14:paraId="6CA501B7" w14:textId="77777777" w:rsidR="00131048" w:rsidRPr="00E83BF7" w:rsidRDefault="00131048" w:rsidP="00E83BF7">
      <w:pPr>
        <w:spacing w:line="360" w:lineRule="auto"/>
        <w:jc w:val="both"/>
        <w:rPr>
          <w:rFonts w:ascii="Arial" w:hAnsi="Arial" w:cs="Arial"/>
          <w:color w:val="000000" w:themeColor="text1"/>
        </w:rPr>
      </w:pPr>
    </w:p>
    <w:p w14:paraId="41F00D45" w14:textId="77777777" w:rsidR="00E83BF7" w:rsidRPr="00E83BF7" w:rsidRDefault="00E83BF7" w:rsidP="00E83BF7">
      <w:pPr>
        <w:spacing w:line="360" w:lineRule="auto"/>
        <w:jc w:val="both"/>
        <w:rPr>
          <w:rFonts w:ascii="Arial" w:hAnsi="Arial" w:cs="Arial"/>
          <w:color w:val="000000" w:themeColor="text1"/>
        </w:rPr>
      </w:pPr>
      <w:r w:rsidRPr="00E83BF7">
        <w:rPr>
          <w:rFonts w:ascii="Arial" w:hAnsi="Arial" w:cs="Arial"/>
          <w:color w:val="000000" w:themeColor="text1"/>
        </w:rPr>
        <w:lastRenderedPageBreak/>
        <w:t>En síntesis, el comportamiento de la mortalidad infantil en Capital Salud EPS-S durante 2025 muestra una tasa general baja, pero con diferencias territoriales relevantes que deben orientar la priorización de intervenciones. La lectura integrada permite identificar dos focos de acción: por un lado, las localidades con mayor carga absoluta de casos, como Ciudad Bolívar, Kennedy, Usme y Engativá; y por otro, las localidades con tasas específicas más elevadas, como Antonio Nariño, Santa Fe, Usme y San Cristóbal. Estos hallazgos refuerzan la necesidad de fortalecer la vigilancia epidemiológica, el análisis individual de casos, la gestión nominal de gestantes, recién nacidos y lactantes, así como la articulación efectiva entre la EPS, la red prestadora y las acciones territoriales de salud pública.</w:t>
      </w:r>
    </w:p>
    <w:p w14:paraId="19AE7105" w14:textId="77777777" w:rsidR="00131048" w:rsidRPr="00242DFB" w:rsidRDefault="00131048" w:rsidP="00131048">
      <w:pPr>
        <w:spacing w:line="360" w:lineRule="auto"/>
        <w:jc w:val="both"/>
        <w:rPr>
          <w:rFonts w:ascii="Arial" w:hAnsi="Arial" w:cs="Arial"/>
          <w:color w:val="000000" w:themeColor="text1"/>
        </w:rPr>
      </w:pPr>
    </w:p>
    <w:p w14:paraId="7C4D67D3" w14:textId="77777777" w:rsidR="00131048" w:rsidRPr="00131048" w:rsidRDefault="00131048" w:rsidP="00131048">
      <w:pPr>
        <w:spacing w:line="360" w:lineRule="auto"/>
        <w:jc w:val="both"/>
        <w:rPr>
          <w:rFonts w:ascii="Arial" w:hAnsi="Arial" w:cs="Arial"/>
          <w:color w:val="000000" w:themeColor="text1"/>
        </w:rPr>
      </w:pPr>
      <w:r w:rsidRPr="00131048">
        <w:rPr>
          <w:rFonts w:ascii="Arial" w:hAnsi="Arial" w:cs="Arial"/>
          <w:color w:val="000000" w:themeColor="text1"/>
        </w:rPr>
        <w:t xml:space="preserve">Luego de identificar la distribución territorial de los casos de mortalidad infantil en la población afiliada a Capital Salud EPS-S, resulta necesario profundizar en el análisis de las </w:t>
      </w:r>
      <w:r w:rsidRPr="00131048">
        <w:rPr>
          <w:rFonts w:ascii="Arial" w:hAnsi="Arial" w:cs="Arial"/>
          <w:b/>
          <w:bCs/>
          <w:color w:val="000000" w:themeColor="text1"/>
        </w:rPr>
        <w:t>causas básicas de defunción</w:t>
      </w:r>
      <w:r w:rsidRPr="00131048">
        <w:rPr>
          <w:rFonts w:ascii="Arial" w:hAnsi="Arial" w:cs="Arial"/>
          <w:color w:val="000000" w:themeColor="text1"/>
        </w:rPr>
        <w:t>, con el fin de establecer si los eventos se relacionan principalmente con condiciones perinatales, malformaciones congénitas, infecciones neonatales u otras causas potencialmente prevenibles o mitigables. Esta lectura permite complementar el análisis territorial con una aproximación clínica y epidemiológica del evento, orientando la identificación de puntos críticos en la atención prenatal, el parto, el cuidado neonatal inmediato y el seguimiento posterior al nacimiento. En este sentido, la Tabla 13 presenta la proporción de causas básicas de mortalidad infantil registradas en Capital Salud EPS-S durante el periodo enero-diciembre de 2025.</w:t>
      </w:r>
    </w:p>
    <w:p w14:paraId="34F41AEE" w14:textId="77777777" w:rsidR="00131048" w:rsidRPr="00242DFB" w:rsidRDefault="00131048" w:rsidP="00131048">
      <w:pPr>
        <w:spacing w:line="360" w:lineRule="auto"/>
        <w:jc w:val="both"/>
        <w:rPr>
          <w:rFonts w:ascii="Arial" w:hAnsi="Arial" w:cs="Arial"/>
          <w:color w:val="000000" w:themeColor="text1"/>
        </w:rPr>
      </w:pPr>
    </w:p>
    <w:p w14:paraId="18A75B73" w14:textId="77777777" w:rsidR="00CF1951" w:rsidRPr="00242DFB" w:rsidRDefault="00CF1951" w:rsidP="00131048">
      <w:pPr>
        <w:spacing w:line="360" w:lineRule="auto"/>
        <w:jc w:val="both"/>
        <w:rPr>
          <w:rFonts w:ascii="Arial" w:hAnsi="Arial" w:cs="Arial"/>
          <w:color w:val="000000" w:themeColor="text1"/>
        </w:rPr>
      </w:pPr>
    </w:p>
    <w:p w14:paraId="34C97801" w14:textId="77777777" w:rsidR="00CF1951" w:rsidRPr="00242DFB" w:rsidRDefault="00CF1951" w:rsidP="00131048">
      <w:pPr>
        <w:spacing w:line="360" w:lineRule="auto"/>
        <w:jc w:val="both"/>
        <w:rPr>
          <w:rFonts w:ascii="Arial" w:hAnsi="Arial" w:cs="Arial"/>
          <w:color w:val="000000" w:themeColor="text1"/>
        </w:rPr>
      </w:pPr>
    </w:p>
    <w:p w14:paraId="103C669D" w14:textId="77777777" w:rsidR="00CF1951" w:rsidRPr="00242DFB" w:rsidRDefault="00CF1951" w:rsidP="00131048">
      <w:pPr>
        <w:spacing w:line="360" w:lineRule="auto"/>
        <w:jc w:val="both"/>
        <w:rPr>
          <w:rFonts w:ascii="Arial" w:hAnsi="Arial" w:cs="Arial"/>
          <w:color w:val="000000" w:themeColor="text1"/>
        </w:rPr>
      </w:pPr>
    </w:p>
    <w:p w14:paraId="76A42019" w14:textId="78D1E6B3" w:rsidR="00131048" w:rsidRPr="00242DFB" w:rsidRDefault="00131048" w:rsidP="00131048">
      <w:pPr>
        <w:pStyle w:val="Descripcin"/>
        <w:keepNext/>
        <w:jc w:val="center"/>
        <w:rPr>
          <w:rFonts w:ascii="Arial" w:hAnsi="Arial" w:cs="Arial"/>
          <w:color w:val="000000" w:themeColor="text1"/>
          <w:sz w:val="24"/>
          <w:szCs w:val="24"/>
        </w:rPr>
      </w:pPr>
      <w:r w:rsidRPr="00242DFB">
        <w:rPr>
          <w:rFonts w:ascii="Arial" w:hAnsi="Arial" w:cs="Arial"/>
          <w:color w:val="000000" w:themeColor="text1"/>
          <w:sz w:val="24"/>
          <w:szCs w:val="24"/>
        </w:rPr>
        <w:lastRenderedPageBreak/>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13</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Proporción de causas básicas de mortalidad infantil en Capital Salud EPS-S, Bogotá D.C., enero-diciembre de 2025</w:t>
      </w:r>
    </w:p>
    <w:tbl>
      <w:tblPr>
        <w:tblW w:w="9047" w:type="dxa"/>
        <w:jc w:val="center"/>
        <w:tblLayout w:type="fixed"/>
        <w:tblCellMar>
          <w:left w:w="70" w:type="dxa"/>
          <w:right w:w="70" w:type="dxa"/>
        </w:tblCellMar>
        <w:tblLook w:val="04A0" w:firstRow="1" w:lastRow="0" w:firstColumn="1" w:lastColumn="0" w:noHBand="0" w:noVBand="1"/>
      </w:tblPr>
      <w:tblGrid>
        <w:gridCol w:w="6492"/>
        <w:gridCol w:w="1134"/>
        <w:gridCol w:w="1421"/>
      </w:tblGrid>
      <w:tr w:rsidR="009F762E" w:rsidRPr="00242DFB" w14:paraId="354A2235" w14:textId="77777777" w:rsidTr="002A1E1C">
        <w:trPr>
          <w:cantSplit/>
          <w:trHeight w:val="270"/>
          <w:tblHeader/>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012A5017" w14:textId="29284291"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rPr>
              <w:t>Causas agrupadas</w:t>
            </w:r>
            <w:r w:rsidR="00CF1951" w:rsidRPr="00242DFB">
              <w:rPr>
                <w:rStyle w:val="Refdenotaalpie"/>
                <w:rFonts w:ascii="Arial" w:eastAsia="Arial" w:hAnsi="Arial" w:cs="Arial"/>
                <w:b/>
                <w:bCs/>
                <w:color w:val="000000" w:themeColor="text1"/>
              </w:rPr>
              <w:footnoteReference w:id="5"/>
            </w:r>
            <w:r w:rsidRPr="00242DFB">
              <w:rPr>
                <w:rFonts w:ascii="Arial" w:eastAsia="Arial" w:hAnsi="Arial" w:cs="Arial"/>
                <w:b/>
                <w:bCs/>
                <w:color w:val="000000" w:themeColor="text1"/>
              </w:rPr>
              <w:t xml:space="preserve"> 6/67</w:t>
            </w:r>
          </w:p>
        </w:tc>
        <w:tc>
          <w:tcPr>
            <w:tcW w:w="1134" w:type="dxa"/>
            <w:tcBorders>
              <w:top w:val="single" w:sz="4" w:space="0" w:color="000000"/>
              <w:left w:val="single" w:sz="4" w:space="0" w:color="000000"/>
              <w:bottom w:val="single" w:sz="4" w:space="0" w:color="000000"/>
              <w:right w:val="single" w:sz="4" w:space="0" w:color="000000"/>
            </w:tcBorders>
            <w:vAlign w:val="center"/>
          </w:tcPr>
          <w:p w14:paraId="4F4F3DA0"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b/>
                <w:bCs/>
                <w:color w:val="000000" w:themeColor="text1"/>
              </w:rPr>
              <w:t>Casos</w:t>
            </w:r>
          </w:p>
        </w:tc>
        <w:tc>
          <w:tcPr>
            <w:tcW w:w="1421" w:type="dxa"/>
            <w:tcBorders>
              <w:top w:val="single" w:sz="4" w:space="0" w:color="000000"/>
              <w:left w:val="single" w:sz="4" w:space="0" w:color="000000"/>
              <w:bottom w:val="single" w:sz="4" w:space="0" w:color="000000"/>
              <w:right w:val="single" w:sz="4" w:space="0" w:color="000000"/>
            </w:tcBorders>
            <w:vAlign w:val="center"/>
          </w:tcPr>
          <w:p w14:paraId="2DFBF09A"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b/>
                <w:bCs/>
                <w:color w:val="000000" w:themeColor="text1"/>
              </w:rPr>
              <w:t>Proporción</w:t>
            </w:r>
          </w:p>
        </w:tc>
      </w:tr>
      <w:tr w:rsidR="009F762E" w:rsidRPr="00242DFB" w14:paraId="708421A3" w14:textId="77777777" w:rsidTr="002A1E1C">
        <w:trPr>
          <w:cantSplit/>
          <w:trHeight w:val="270"/>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780F120F"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4,04 trastornos respiratorios específicos del periodo perinatal</w:t>
            </w:r>
          </w:p>
        </w:tc>
        <w:tc>
          <w:tcPr>
            <w:tcW w:w="1134" w:type="dxa"/>
            <w:tcBorders>
              <w:top w:val="single" w:sz="4" w:space="0" w:color="000000"/>
              <w:left w:val="single" w:sz="4" w:space="0" w:color="000000"/>
              <w:bottom w:val="single" w:sz="4" w:space="0" w:color="000000"/>
              <w:right w:val="single" w:sz="4" w:space="0" w:color="000000"/>
            </w:tcBorders>
            <w:vAlign w:val="center"/>
          </w:tcPr>
          <w:p w14:paraId="7534BC3D"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15</w:t>
            </w:r>
          </w:p>
        </w:tc>
        <w:tc>
          <w:tcPr>
            <w:tcW w:w="1421" w:type="dxa"/>
            <w:tcBorders>
              <w:top w:val="single" w:sz="4" w:space="0" w:color="000000"/>
              <w:left w:val="single" w:sz="4" w:space="0" w:color="000000"/>
              <w:bottom w:val="single" w:sz="4" w:space="0" w:color="000000"/>
              <w:right w:val="single" w:sz="4" w:space="0" w:color="000000"/>
            </w:tcBorders>
            <w:vAlign w:val="center"/>
          </w:tcPr>
          <w:p w14:paraId="0326547E"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22,4%</w:t>
            </w:r>
          </w:p>
        </w:tc>
      </w:tr>
      <w:tr w:rsidR="009F762E" w:rsidRPr="00242DFB" w14:paraId="7D6B4B99"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180B6F71"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 xml:space="preserve">6,13 Malformaciones congénitas, deformidades y anomalías cromosómicas </w:t>
            </w:r>
          </w:p>
        </w:tc>
        <w:tc>
          <w:tcPr>
            <w:tcW w:w="1134" w:type="dxa"/>
            <w:tcBorders>
              <w:top w:val="single" w:sz="4" w:space="0" w:color="000000"/>
              <w:left w:val="single" w:sz="4" w:space="0" w:color="000000"/>
              <w:bottom w:val="single" w:sz="4" w:space="0" w:color="000000"/>
              <w:right w:val="single" w:sz="4" w:space="0" w:color="000000"/>
            </w:tcBorders>
            <w:vAlign w:val="center"/>
          </w:tcPr>
          <w:p w14:paraId="09BF0AF6"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14</w:t>
            </w:r>
          </w:p>
        </w:tc>
        <w:tc>
          <w:tcPr>
            <w:tcW w:w="1421" w:type="dxa"/>
            <w:tcBorders>
              <w:top w:val="single" w:sz="4" w:space="0" w:color="000000"/>
              <w:left w:val="single" w:sz="4" w:space="0" w:color="000000"/>
              <w:bottom w:val="single" w:sz="4" w:space="0" w:color="000000"/>
              <w:right w:val="single" w:sz="4" w:space="0" w:color="000000"/>
            </w:tcBorders>
            <w:vAlign w:val="center"/>
          </w:tcPr>
          <w:p w14:paraId="011428BB"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20,9%</w:t>
            </w:r>
          </w:p>
        </w:tc>
      </w:tr>
      <w:tr w:rsidR="009F762E" w:rsidRPr="00242DFB" w14:paraId="41A411EB"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1840193B"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4,05 Sepsis bacteriana del recién nacido</w:t>
            </w:r>
          </w:p>
        </w:tc>
        <w:tc>
          <w:tcPr>
            <w:tcW w:w="1134" w:type="dxa"/>
            <w:tcBorders>
              <w:top w:val="single" w:sz="4" w:space="0" w:color="000000"/>
              <w:left w:val="single" w:sz="4" w:space="0" w:color="000000"/>
              <w:bottom w:val="single" w:sz="4" w:space="0" w:color="000000"/>
              <w:right w:val="single" w:sz="4" w:space="0" w:color="000000"/>
            </w:tcBorders>
            <w:vAlign w:val="center"/>
          </w:tcPr>
          <w:p w14:paraId="6E14B9FB"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12</w:t>
            </w:r>
          </w:p>
        </w:tc>
        <w:tc>
          <w:tcPr>
            <w:tcW w:w="1421" w:type="dxa"/>
            <w:tcBorders>
              <w:top w:val="single" w:sz="4" w:space="0" w:color="000000"/>
              <w:left w:val="single" w:sz="4" w:space="0" w:color="000000"/>
              <w:bottom w:val="single" w:sz="4" w:space="0" w:color="000000"/>
              <w:right w:val="single" w:sz="4" w:space="0" w:color="000000"/>
            </w:tcBorders>
            <w:vAlign w:val="center"/>
          </w:tcPr>
          <w:p w14:paraId="2C2FD250"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17,9%</w:t>
            </w:r>
          </w:p>
        </w:tc>
      </w:tr>
      <w:tr w:rsidR="009F762E" w:rsidRPr="00242DFB" w14:paraId="4B47DA7D"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4E502974"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 xml:space="preserve">4,06 Resto de ciertas afecciones originadas en el período perinatal </w:t>
            </w:r>
          </w:p>
        </w:tc>
        <w:tc>
          <w:tcPr>
            <w:tcW w:w="1134" w:type="dxa"/>
            <w:tcBorders>
              <w:top w:val="single" w:sz="4" w:space="0" w:color="000000"/>
              <w:left w:val="single" w:sz="4" w:space="0" w:color="000000"/>
              <w:bottom w:val="single" w:sz="4" w:space="0" w:color="000000"/>
              <w:right w:val="single" w:sz="4" w:space="0" w:color="000000"/>
            </w:tcBorders>
            <w:vAlign w:val="center"/>
          </w:tcPr>
          <w:p w14:paraId="7453331C"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5</w:t>
            </w:r>
          </w:p>
        </w:tc>
        <w:tc>
          <w:tcPr>
            <w:tcW w:w="1421" w:type="dxa"/>
            <w:tcBorders>
              <w:top w:val="single" w:sz="4" w:space="0" w:color="000000"/>
              <w:left w:val="single" w:sz="4" w:space="0" w:color="000000"/>
              <w:bottom w:val="single" w:sz="4" w:space="0" w:color="000000"/>
              <w:right w:val="single" w:sz="4" w:space="0" w:color="000000"/>
            </w:tcBorders>
            <w:vAlign w:val="center"/>
          </w:tcPr>
          <w:p w14:paraId="36DCAF8F"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7,5%</w:t>
            </w:r>
          </w:p>
        </w:tc>
      </w:tr>
      <w:tr w:rsidR="009F762E" w:rsidRPr="00242DFB" w14:paraId="12C1D624"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1E95C993"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4,02 Feto o recién nacido afectados por complicaciones obstétricas y traumatismo del nacimiento</w:t>
            </w:r>
          </w:p>
        </w:tc>
        <w:tc>
          <w:tcPr>
            <w:tcW w:w="1134" w:type="dxa"/>
            <w:tcBorders>
              <w:top w:val="single" w:sz="4" w:space="0" w:color="000000"/>
              <w:left w:val="single" w:sz="4" w:space="0" w:color="000000"/>
              <w:bottom w:val="single" w:sz="4" w:space="0" w:color="000000"/>
              <w:right w:val="single" w:sz="4" w:space="0" w:color="000000"/>
            </w:tcBorders>
            <w:vAlign w:val="center"/>
          </w:tcPr>
          <w:p w14:paraId="7362CFE9"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4</w:t>
            </w:r>
          </w:p>
        </w:tc>
        <w:tc>
          <w:tcPr>
            <w:tcW w:w="1421" w:type="dxa"/>
            <w:tcBorders>
              <w:top w:val="single" w:sz="4" w:space="0" w:color="000000"/>
              <w:left w:val="single" w:sz="4" w:space="0" w:color="000000"/>
              <w:bottom w:val="single" w:sz="4" w:space="0" w:color="000000"/>
              <w:right w:val="single" w:sz="4" w:space="0" w:color="000000"/>
            </w:tcBorders>
            <w:vAlign w:val="center"/>
          </w:tcPr>
          <w:p w14:paraId="30CF10BC"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6,0%</w:t>
            </w:r>
          </w:p>
        </w:tc>
      </w:tr>
      <w:tr w:rsidR="009F762E" w:rsidRPr="00242DFB" w14:paraId="0B9C3647"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3140CE63"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4,03 Retardo del crecimiento fetal, desnutrición fetal, gestación corta y bajo peso al nacer</w:t>
            </w:r>
          </w:p>
        </w:tc>
        <w:tc>
          <w:tcPr>
            <w:tcW w:w="1134" w:type="dxa"/>
            <w:tcBorders>
              <w:top w:val="single" w:sz="4" w:space="0" w:color="000000"/>
              <w:left w:val="single" w:sz="4" w:space="0" w:color="000000"/>
              <w:bottom w:val="single" w:sz="4" w:space="0" w:color="000000"/>
              <w:right w:val="single" w:sz="4" w:space="0" w:color="000000"/>
            </w:tcBorders>
            <w:vAlign w:val="center"/>
          </w:tcPr>
          <w:p w14:paraId="1E3A855B"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4</w:t>
            </w:r>
          </w:p>
        </w:tc>
        <w:tc>
          <w:tcPr>
            <w:tcW w:w="1421" w:type="dxa"/>
            <w:tcBorders>
              <w:top w:val="single" w:sz="4" w:space="0" w:color="000000"/>
              <w:left w:val="single" w:sz="4" w:space="0" w:color="000000"/>
              <w:bottom w:val="single" w:sz="4" w:space="0" w:color="000000"/>
              <w:right w:val="single" w:sz="4" w:space="0" w:color="000000"/>
            </w:tcBorders>
            <w:vAlign w:val="center"/>
          </w:tcPr>
          <w:p w14:paraId="461AC249"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6,0%</w:t>
            </w:r>
          </w:p>
        </w:tc>
      </w:tr>
      <w:tr w:rsidR="009F762E" w:rsidRPr="00242DFB" w14:paraId="75CB0F70"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02DAE769"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1,08 Infecciones respiratorias agudas</w:t>
            </w:r>
          </w:p>
        </w:tc>
        <w:tc>
          <w:tcPr>
            <w:tcW w:w="1134" w:type="dxa"/>
            <w:tcBorders>
              <w:top w:val="single" w:sz="4" w:space="0" w:color="000000"/>
              <w:left w:val="single" w:sz="4" w:space="0" w:color="000000"/>
              <w:bottom w:val="single" w:sz="4" w:space="0" w:color="000000"/>
              <w:right w:val="single" w:sz="4" w:space="0" w:color="000000"/>
            </w:tcBorders>
            <w:vAlign w:val="center"/>
          </w:tcPr>
          <w:p w14:paraId="22EC61AA"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2</w:t>
            </w:r>
          </w:p>
        </w:tc>
        <w:tc>
          <w:tcPr>
            <w:tcW w:w="1421" w:type="dxa"/>
            <w:tcBorders>
              <w:top w:val="single" w:sz="4" w:space="0" w:color="000000"/>
              <w:left w:val="single" w:sz="4" w:space="0" w:color="000000"/>
              <w:bottom w:val="single" w:sz="4" w:space="0" w:color="000000"/>
              <w:right w:val="single" w:sz="4" w:space="0" w:color="000000"/>
            </w:tcBorders>
            <w:vAlign w:val="center"/>
          </w:tcPr>
          <w:p w14:paraId="616B8B47"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3,0%</w:t>
            </w:r>
          </w:p>
        </w:tc>
      </w:tr>
      <w:tr w:rsidR="009F762E" w:rsidRPr="00242DFB" w14:paraId="79EB5076"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0A1C2411"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1,09 Resto de ciertas enfermedades infecciosas y parasitarias</w:t>
            </w:r>
          </w:p>
        </w:tc>
        <w:tc>
          <w:tcPr>
            <w:tcW w:w="1134" w:type="dxa"/>
            <w:tcBorders>
              <w:top w:val="single" w:sz="4" w:space="0" w:color="000000"/>
              <w:left w:val="single" w:sz="4" w:space="0" w:color="000000"/>
              <w:bottom w:val="single" w:sz="4" w:space="0" w:color="000000"/>
              <w:right w:val="single" w:sz="4" w:space="0" w:color="000000"/>
            </w:tcBorders>
            <w:vAlign w:val="center"/>
          </w:tcPr>
          <w:p w14:paraId="74A054B3"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2</w:t>
            </w:r>
          </w:p>
        </w:tc>
        <w:tc>
          <w:tcPr>
            <w:tcW w:w="1421" w:type="dxa"/>
            <w:tcBorders>
              <w:top w:val="single" w:sz="4" w:space="0" w:color="000000"/>
              <w:left w:val="single" w:sz="4" w:space="0" w:color="000000"/>
              <w:bottom w:val="single" w:sz="4" w:space="0" w:color="000000"/>
              <w:right w:val="single" w:sz="4" w:space="0" w:color="000000"/>
            </w:tcBorders>
            <w:vAlign w:val="center"/>
          </w:tcPr>
          <w:p w14:paraId="45DE3D87"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3,0%</w:t>
            </w:r>
          </w:p>
        </w:tc>
      </w:tr>
      <w:tr w:rsidR="009F762E" w:rsidRPr="00242DFB" w14:paraId="74E5397F"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537AB8B3"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2,12 Leucemia</w:t>
            </w:r>
          </w:p>
        </w:tc>
        <w:tc>
          <w:tcPr>
            <w:tcW w:w="1134" w:type="dxa"/>
            <w:tcBorders>
              <w:top w:val="single" w:sz="4" w:space="0" w:color="000000"/>
              <w:left w:val="single" w:sz="4" w:space="0" w:color="000000"/>
              <w:bottom w:val="single" w:sz="4" w:space="0" w:color="000000"/>
              <w:right w:val="single" w:sz="4" w:space="0" w:color="000000"/>
            </w:tcBorders>
            <w:vAlign w:val="center"/>
          </w:tcPr>
          <w:p w14:paraId="260C925B"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2</w:t>
            </w:r>
          </w:p>
        </w:tc>
        <w:tc>
          <w:tcPr>
            <w:tcW w:w="1421" w:type="dxa"/>
            <w:tcBorders>
              <w:top w:val="single" w:sz="4" w:space="0" w:color="000000"/>
              <w:left w:val="single" w:sz="4" w:space="0" w:color="000000"/>
              <w:bottom w:val="single" w:sz="4" w:space="0" w:color="000000"/>
              <w:right w:val="single" w:sz="4" w:space="0" w:color="000000"/>
            </w:tcBorders>
            <w:vAlign w:val="center"/>
          </w:tcPr>
          <w:p w14:paraId="4B57730B"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3,0%</w:t>
            </w:r>
          </w:p>
        </w:tc>
      </w:tr>
      <w:tr w:rsidR="009F762E" w:rsidRPr="00242DFB" w14:paraId="08ED7DBB"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18DBA870"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2,15 Tumores: in situ, benignos y de comportamiento incierto o desconocido</w:t>
            </w:r>
          </w:p>
        </w:tc>
        <w:tc>
          <w:tcPr>
            <w:tcW w:w="1134" w:type="dxa"/>
            <w:tcBorders>
              <w:top w:val="single" w:sz="4" w:space="0" w:color="000000"/>
              <w:left w:val="single" w:sz="4" w:space="0" w:color="000000"/>
              <w:bottom w:val="single" w:sz="4" w:space="0" w:color="000000"/>
              <w:right w:val="single" w:sz="4" w:space="0" w:color="000000"/>
            </w:tcBorders>
            <w:vAlign w:val="center"/>
          </w:tcPr>
          <w:p w14:paraId="3DD9885C"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2</w:t>
            </w:r>
          </w:p>
        </w:tc>
        <w:tc>
          <w:tcPr>
            <w:tcW w:w="1421" w:type="dxa"/>
            <w:tcBorders>
              <w:top w:val="single" w:sz="4" w:space="0" w:color="000000"/>
              <w:left w:val="single" w:sz="4" w:space="0" w:color="000000"/>
              <w:bottom w:val="single" w:sz="4" w:space="0" w:color="000000"/>
              <w:right w:val="single" w:sz="4" w:space="0" w:color="000000"/>
            </w:tcBorders>
            <w:vAlign w:val="center"/>
          </w:tcPr>
          <w:p w14:paraId="5D5109B0"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3,0%</w:t>
            </w:r>
          </w:p>
        </w:tc>
      </w:tr>
      <w:tr w:rsidR="009F762E" w:rsidRPr="00242DFB" w14:paraId="7FCF18FE"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19FD2BC7"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4,01 Feto o recién nacido afectados por ciertas afecciones maternas</w:t>
            </w:r>
          </w:p>
        </w:tc>
        <w:tc>
          <w:tcPr>
            <w:tcW w:w="1134" w:type="dxa"/>
            <w:tcBorders>
              <w:top w:val="single" w:sz="4" w:space="0" w:color="000000"/>
              <w:left w:val="single" w:sz="4" w:space="0" w:color="000000"/>
              <w:bottom w:val="single" w:sz="4" w:space="0" w:color="000000"/>
              <w:right w:val="single" w:sz="4" w:space="0" w:color="000000"/>
            </w:tcBorders>
            <w:vAlign w:val="center"/>
          </w:tcPr>
          <w:p w14:paraId="208537A7"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2</w:t>
            </w:r>
          </w:p>
        </w:tc>
        <w:tc>
          <w:tcPr>
            <w:tcW w:w="1421" w:type="dxa"/>
            <w:tcBorders>
              <w:top w:val="single" w:sz="4" w:space="0" w:color="000000"/>
              <w:left w:val="single" w:sz="4" w:space="0" w:color="000000"/>
              <w:bottom w:val="single" w:sz="4" w:space="0" w:color="000000"/>
              <w:right w:val="single" w:sz="4" w:space="0" w:color="000000"/>
            </w:tcBorders>
            <w:vAlign w:val="center"/>
          </w:tcPr>
          <w:p w14:paraId="31B4CAA6"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3,0%</w:t>
            </w:r>
          </w:p>
        </w:tc>
      </w:tr>
      <w:tr w:rsidR="009F762E" w:rsidRPr="00242DFB" w14:paraId="4579D668"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46FECE8B"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2,14 Tumores malignos de otras localizaciones y de las no especificadas</w:t>
            </w:r>
          </w:p>
        </w:tc>
        <w:tc>
          <w:tcPr>
            <w:tcW w:w="1134" w:type="dxa"/>
            <w:tcBorders>
              <w:top w:val="single" w:sz="4" w:space="0" w:color="000000"/>
              <w:left w:val="single" w:sz="4" w:space="0" w:color="000000"/>
              <w:bottom w:val="single" w:sz="4" w:space="0" w:color="000000"/>
              <w:right w:val="single" w:sz="4" w:space="0" w:color="000000"/>
            </w:tcBorders>
            <w:vAlign w:val="center"/>
          </w:tcPr>
          <w:p w14:paraId="38469784"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c>
          <w:tcPr>
            <w:tcW w:w="1421" w:type="dxa"/>
            <w:tcBorders>
              <w:top w:val="single" w:sz="4" w:space="0" w:color="000000"/>
              <w:left w:val="single" w:sz="4" w:space="0" w:color="000000"/>
              <w:bottom w:val="single" w:sz="4" w:space="0" w:color="000000"/>
              <w:right w:val="single" w:sz="4" w:space="0" w:color="000000"/>
            </w:tcBorders>
            <w:vAlign w:val="center"/>
          </w:tcPr>
          <w:p w14:paraId="072F87CF"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1,5%</w:t>
            </w:r>
          </w:p>
        </w:tc>
      </w:tr>
      <w:tr w:rsidR="009F762E" w:rsidRPr="00242DFB" w14:paraId="53ACDC0E"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6E23352F"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6,07 Apendicitis, hernia de la cavidad abdominal y obstrucción intestinal</w:t>
            </w:r>
          </w:p>
        </w:tc>
        <w:tc>
          <w:tcPr>
            <w:tcW w:w="1134" w:type="dxa"/>
            <w:tcBorders>
              <w:top w:val="single" w:sz="4" w:space="0" w:color="000000"/>
              <w:left w:val="single" w:sz="4" w:space="0" w:color="000000"/>
              <w:bottom w:val="single" w:sz="4" w:space="0" w:color="000000"/>
              <w:right w:val="single" w:sz="4" w:space="0" w:color="000000"/>
            </w:tcBorders>
            <w:vAlign w:val="center"/>
          </w:tcPr>
          <w:p w14:paraId="57BC515F"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c>
          <w:tcPr>
            <w:tcW w:w="1421" w:type="dxa"/>
            <w:tcBorders>
              <w:top w:val="single" w:sz="4" w:space="0" w:color="000000"/>
              <w:left w:val="single" w:sz="4" w:space="0" w:color="000000"/>
              <w:bottom w:val="single" w:sz="4" w:space="0" w:color="000000"/>
              <w:right w:val="single" w:sz="4" w:space="0" w:color="000000"/>
            </w:tcBorders>
            <w:vAlign w:val="center"/>
          </w:tcPr>
          <w:p w14:paraId="6E8A88BE"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1,5%</w:t>
            </w:r>
          </w:p>
        </w:tc>
      </w:tr>
      <w:tr w:rsidR="009F762E" w:rsidRPr="00242DFB" w14:paraId="709518FE" w14:textId="77777777" w:rsidTr="002A1E1C">
        <w:trPr>
          <w:cantSplit/>
          <w:trHeight w:val="270"/>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2982E8D1"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6,09 Resto de enfermedades del sistema digestivo</w:t>
            </w:r>
          </w:p>
        </w:tc>
        <w:tc>
          <w:tcPr>
            <w:tcW w:w="1134" w:type="dxa"/>
            <w:tcBorders>
              <w:top w:val="single" w:sz="4" w:space="0" w:color="000000"/>
              <w:left w:val="single" w:sz="4" w:space="0" w:color="000000"/>
              <w:bottom w:val="single" w:sz="4" w:space="0" w:color="000000"/>
              <w:right w:val="single" w:sz="4" w:space="0" w:color="000000"/>
            </w:tcBorders>
            <w:vAlign w:val="center"/>
          </w:tcPr>
          <w:p w14:paraId="1E2A6AB3"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c>
          <w:tcPr>
            <w:tcW w:w="1421" w:type="dxa"/>
            <w:tcBorders>
              <w:top w:val="single" w:sz="4" w:space="0" w:color="000000"/>
              <w:left w:val="single" w:sz="4" w:space="0" w:color="000000"/>
              <w:bottom w:val="single" w:sz="4" w:space="0" w:color="000000"/>
              <w:right w:val="single" w:sz="4" w:space="0" w:color="000000"/>
            </w:tcBorders>
            <w:vAlign w:val="center"/>
          </w:tcPr>
          <w:p w14:paraId="5C4C2786"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1,5%</w:t>
            </w:r>
          </w:p>
        </w:tc>
      </w:tr>
      <w:tr w:rsidR="009F762E" w:rsidRPr="00242DFB" w14:paraId="32532DBD" w14:textId="77777777" w:rsidTr="002A1E1C">
        <w:trPr>
          <w:cantSplit/>
          <w:trHeight w:val="270"/>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22ECB5E5" w14:textId="00B4E3DF" w:rsidR="009F762E" w:rsidRPr="00242DFB" w:rsidRDefault="00000000" w:rsidP="002A0E52">
            <w:pPr>
              <w:spacing w:line="360" w:lineRule="auto"/>
              <w:jc w:val="center"/>
              <w:rPr>
                <w:rFonts w:ascii="Arial" w:hAnsi="Arial" w:cs="Arial"/>
                <w:color w:val="000000" w:themeColor="text1"/>
              </w:rPr>
            </w:pPr>
            <w:bookmarkStart w:id="34" w:name="_Int_ZDl6RSSz"/>
            <w:r w:rsidRPr="00242DFB">
              <w:rPr>
                <w:rFonts w:ascii="Arial" w:eastAsia="Arial" w:hAnsi="Arial" w:cs="Arial"/>
                <w:b/>
                <w:bCs/>
                <w:color w:val="000000" w:themeColor="text1"/>
              </w:rPr>
              <w:lastRenderedPageBreak/>
              <w:t>Total</w:t>
            </w:r>
            <w:bookmarkEnd w:id="34"/>
            <w:r w:rsidR="000B3A12" w:rsidRPr="00242DFB">
              <w:rPr>
                <w:rFonts w:ascii="Arial" w:eastAsia="Arial" w:hAnsi="Arial" w:cs="Arial"/>
                <w:b/>
                <w:bCs/>
                <w:color w:val="000000" w:themeColor="text1"/>
              </w:rPr>
              <w:t>,</w:t>
            </w:r>
            <w:r w:rsidRPr="00242DFB">
              <w:rPr>
                <w:rFonts w:ascii="Arial" w:eastAsia="Arial" w:hAnsi="Arial" w:cs="Arial"/>
                <w:b/>
                <w:bCs/>
                <w:color w:val="000000" w:themeColor="text1"/>
              </w:rPr>
              <w:t xml:space="preserve"> general</w:t>
            </w:r>
          </w:p>
        </w:tc>
        <w:tc>
          <w:tcPr>
            <w:tcW w:w="1134" w:type="dxa"/>
            <w:tcBorders>
              <w:top w:val="single" w:sz="4" w:space="0" w:color="000000"/>
              <w:left w:val="single" w:sz="4" w:space="0" w:color="000000"/>
              <w:bottom w:val="single" w:sz="4" w:space="0" w:color="000000"/>
              <w:right w:val="single" w:sz="4" w:space="0" w:color="000000"/>
            </w:tcBorders>
            <w:vAlign w:val="center"/>
          </w:tcPr>
          <w:p w14:paraId="6E0AE223"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rPr>
              <w:t>67</w:t>
            </w:r>
          </w:p>
        </w:tc>
        <w:tc>
          <w:tcPr>
            <w:tcW w:w="1421" w:type="dxa"/>
            <w:tcBorders>
              <w:top w:val="single" w:sz="4" w:space="0" w:color="000000"/>
              <w:left w:val="single" w:sz="4" w:space="0" w:color="000000"/>
              <w:bottom w:val="single" w:sz="4" w:space="0" w:color="000000"/>
              <w:right w:val="single" w:sz="4" w:space="0" w:color="000000"/>
            </w:tcBorders>
            <w:vAlign w:val="center"/>
          </w:tcPr>
          <w:p w14:paraId="329251A6"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rPr>
              <w:t>100%</w:t>
            </w:r>
          </w:p>
        </w:tc>
      </w:tr>
    </w:tbl>
    <w:p w14:paraId="3C0E7CBC" w14:textId="77777777" w:rsidR="009F762E" w:rsidRPr="00242DFB" w:rsidRDefault="00000000" w:rsidP="00CF1951">
      <w:pPr>
        <w:spacing w:line="360" w:lineRule="auto"/>
        <w:jc w:val="both"/>
        <w:rPr>
          <w:rFonts w:ascii="Arial" w:hAnsi="Arial" w:cs="Arial"/>
          <w:color w:val="000000" w:themeColor="text1"/>
          <w:sz w:val="16"/>
          <w:szCs w:val="16"/>
        </w:rPr>
      </w:pPr>
      <w:r w:rsidRPr="00242DFB">
        <w:rPr>
          <w:rFonts w:ascii="Arial" w:eastAsia="Arial" w:hAnsi="Arial" w:cs="Arial"/>
          <w:color w:val="000000"/>
          <w:sz w:val="16"/>
          <w:szCs w:val="16"/>
        </w:rPr>
        <w:t>Fuente 2025: Aplicativo RUAF-ND. Sistema de Estadísticas Vitales SDS -EEVV-PRELIMINARES ajustado 10-12-2025</w:t>
      </w:r>
    </w:p>
    <w:p w14:paraId="12D4004E" w14:textId="77777777" w:rsidR="009F762E" w:rsidRPr="00242DFB" w:rsidRDefault="00000000" w:rsidP="002A0E52">
      <w:pPr>
        <w:spacing w:line="360" w:lineRule="auto"/>
        <w:ind w:left="720"/>
        <w:jc w:val="center"/>
        <w:rPr>
          <w:rFonts w:ascii="Arial" w:hAnsi="Arial" w:cs="Arial"/>
          <w:color w:val="000000" w:themeColor="text1"/>
        </w:rPr>
      </w:pPr>
      <w:r w:rsidRPr="00242DFB">
        <w:rPr>
          <w:rFonts w:ascii="Arial" w:eastAsia="Arial" w:hAnsi="Arial" w:cs="Arial"/>
          <w:color w:val="000000"/>
        </w:rPr>
        <w:t xml:space="preserve"> </w:t>
      </w:r>
    </w:p>
    <w:p w14:paraId="6A1C792A"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El análisis de las causas agrupadas de mortalidad infantil en la población afiliada a Capital Salud EPS-S en Bogotá evidencia un predominio de condiciones asociadas al período perinatal y neonatal. La principal causa correspondió a los trastornos respiratorios específicos del período perinatal con 15 casos (22,4%), seguida de las malformaciones congénitas, deformidades y anomalías cromosómicas con 14 casos (20,9%) y la sepsis bacteriana del recién nacido con 12 casos (17,9%). Este comportamiento refleja la influencia de factores relacionados con la prematurez, complicaciones neonatales, condiciones congénitas y riesgos asociados a la atención materno-perinatal.</w:t>
      </w:r>
    </w:p>
    <w:p w14:paraId="61612F60"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68635E06"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Adicionalmente, se identificaron casos relacionados con otras afecciones originadas en el período perinatal (7,5%), complicaciones obstétricas y traumatismos del nacimiento (6,0%), así como retardo del crecimiento fetal y bajo peso al nacer (6,0%), lo que confirma la concentración de los eventos en etapas tempranas de la vida. Desde el enfoque epidemiológico, estos hallazgos resaltan la necesidad de fortalecer las acciones de control prenatal, la identificación oportuna de gestantes de alto riesgo, la atención segura del parto y el manejo integral neonatal, especialmente en la prevención y tratamiento temprano de complicaciones respiratorias e infecciosas del recién nacido.</w:t>
      </w:r>
    </w:p>
    <w:p w14:paraId="471AF873" w14:textId="77777777" w:rsidR="009F762E" w:rsidRPr="00242DFB" w:rsidRDefault="009F762E" w:rsidP="002A0E52">
      <w:pPr>
        <w:spacing w:line="360" w:lineRule="auto"/>
        <w:rPr>
          <w:rFonts w:ascii="Arial" w:hAnsi="Arial" w:cs="Arial"/>
          <w:color w:val="000000" w:themeColor="text1"/>
        </w:rPr>
      </w:pPr>
    </w:p>
    <w:p w14:paraId="70BA3FAC" w14:textId="6DEE96C0" w:rsidR="009F762E" w:rsidRPr="00242DFB" w:rsidRDefault="00D55ABD" w:rsidP="00D55ABD">
      <w:pPr>
        <w:pStyle w:val="Ttulo2"/>
        <w:numPr>
          <w:ilvl w:val="1"/>
          <w:numId w:val="7"/>
        </w:numPr>
        <w:rPr>
          <w:rFonts w:ascii="Arial" w:hAnsi="Arial" w:cs="Arial"/>
          <w:b/>
          <w:bCs/>
          <w:color w:val="000000" w:themeColor="text1"/>
          <w:sz w:val="24"/>
          <w:szCs w:val="24"/>
        </w:rPr>
      </w:pPr>
      <w:bookmarkStart w:id="35" w:name="__RefHeading___Toc8596_542869190"/>
      <w:bookmarkEnd w:id="35"/>
      <w:r w:rsidRPr="00242DFB">
        <w:rPr>
          <w:rFonts w:ascii="Arial" w:hAnsi="Arial" w:cs="Arial"/>
          <w:b/>
          <w:bCs/>
          <w:color w:val="000000" w:themeColor="text1"/>
          <w:sz w:val="24"/>
          <w:szCs w:val="24"/>
        </w:rPr>
        <w:t xml:space="preserve"> </w:t>
      </w:r>
      <w:r w:rsidR="00000000" w:rsidRPr="00242DFB">
        <w:rPr>
          <w:rFonts w:ascii="Arial" w:hAnsi="Arial" w:cs="Arial"/>
          <w:b/>
          <w:bCs/>
          <w:color w:val="000000" w:themeColor="text1"/>
          <w:sz w:val="24"/>
          <w:szCs w:val="24"/>
        </w:rPr>
        <w:t>Coberturas de vacunación</w:t>
      </w:r>
    </w:p>
    <w:p w14:paraId="39C06230" w14:textId="77777777" w:rsidR="00A8307C" w:rsidRPr="00242DFB" w:rsidRDefault="00A8307C" w:rsidP="002A0E52">
      <w:pPr>
        <w:shd w:val="clear" w:color="auto" w:fill="FFFFFF" w:themeFill="background1"/>
        <w:spacing w:line="360" w:lineRule="auto"/>
        <w:jc w:val="both"/>
        <w:rPr>
          <w:rFonts w:ascii="Arial" w:eastAsia="Aptos" w:hAnsi="Arial" w:cs="Arial"/>
          <w:color w:val="000000"/>
        </w:rPr>
      </w:pPr>
    </w:p>
    <w:p w14:paraId="3ADBB3A7" w14:textId="44FD0548" w:rsidR="009F762E" w:rsidRPr="00242DFB" w:rsidRDefault="00000000" w:rsidP="002A0E52">
      <w:pPr>
        <w:shd w:val="clear" w:color="auto" w:fill="FFFFFF" w:themeFill="background1"/>
        <w:spacing w:line="360" w:lineRule="auto"/>
        <w:jc w:val="both"/>
        <w:rPr>
          <w:rFonts w:ascii="Arial" w:eastAsia="Aptos" w:hAnsi="Arial" w:cs="Arial"/>
          <w:color w:val="000000"/>
        </w:rPr>
      </w:pPr>
      <w:r w:rsidRPr="00242DFB">
        <w:rPr>
          <w:rFonts w:ascii="Arial" w:eastAsia="Aptos" w:hAnsi="Arial" w:cs="Arial"/>
          <w:color w:val="000000"/>
        </w:rPr>
        <w:t>La Secretaría Distrital de Salud señala que la meta esperada para las coberturas del esquema permanente del PAI corresponde al 95%; sin embargo, la EAPB Capital Salud registró incumplimientos en todos los biológicos trazadores evaluados.</w:t>
      </w:r>
    </w:p>
    <w:p w14:paraId="6A87D988" w14:textId="77777777" w:rsidR="00A8307C" w:rsidRPr="00242DFB" w:rsidRDefault="00A8307C" w:rsidP="002A0E52">
      <w:pPr>
        <w:shd w:val="clear" w:color="auto" w:fill="FFFFFF" w:themeFill="background1"/>
        <w:spacing w:line="360" w:lineRule="auto"/>
        <w:jc w:val="both"/>
        <w:rPr>
          <w:rFonts w:ascii="Arial" w:hAnsi="Arial" w:cs="Arial"/>
          <w:color w:val="000000" w:themeColor="text1"/>
        </w:rPr>
      </w:pPr>
    </w:p>
    <w:p w14:paraId="1987F06D" w14:textId="3D334244" w:rsidR="009F762E" w:rsidRPr="00242DFB" w:rsidRDefault="009F762E" w:rsidP="002A0E52">
      <w:pPr>
        <w:spacing w:line="360" w:lineRule="auto"/>
        <w:jc w:val="center"/>
        <w:rPr>
          <w:rFonts w:ascii="Arial" w:hAnsi="Arial" w:cs="Arial"/>
        </w:rPr>
      </w:pPr>
    </w:p>
    <w:p w14:paraId="46019D88" w14:textId="7388C8EA" w:rsidR="00A8307C" w:rsidRPr="00242DFB" w:rsidRDefault="00A8307C" w:rsidP="00A8307C">
      <w:pPr>
        <w:pStyle w:val="Descripcin"/>
        <w:keepNext/>
        <w:jc w:val="center"/>
        <w:rPr>
          <w:rFonts w:ascii="Arial" w:hAnsi="Arial" w:cs="Arial"/>
          <w:color w:val="000000" w:themeColor="text1"/>
          <w:sz w:val="24"/>
          <w:szCs w:val="24"/>
        </w:rPr>
      </w:pPr>
      <w:r w:rsidRPr="00242DFB">
        <w:rPr>
          <w:rFonts w:ascii="Arial" w:hAnsi="Arial" w:cs="Arial"/>
          <w:color w:val="000000" w:themeColor="text1"/>
          <w:sz w:val="24"/>
          <w:szCs w:val="24"/>
        </w:rPr>
        <w:lastRenderedPageBreak/>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14</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Coberturas de vacunación infantil trazadora, Capital Salud EPS-S, Bogotá D.C., 2025</w:t>
      </w:r>
    </w:p>
    <w:tbl>
      <w:tblPr>
        <w:tblW w:w="8823" w:type="dxa"/>
        <w:tblLayout w:type="fixed"/>
        <w:tblCellMar>
          <w:top w:w="120" w:type="dxa"/>
          <w:left w:w="180" w:type="dxa"/>
          <w:bottom w:w="120" w:type="dxa"/>
          <w:right w:w="180" w:type="dxa"/>
        </w:tblCellMar>
        <w:tblLook w:val="06A0" w:firstRow="1" w:lastRow="0" w:firstColumn="1" w:lastColumn="0" w:noHBand="1" w:noVBand="1"/>
      </w:tblPr>
      <w:tblGrid>
        <w:gridCol w:w="7158"/>
        <w:gridCol w:w="1665"/>
      </w:tblGrid>
      <w:tr w:rsidR="009F762E" w:rsidRPr="00242DFB" w14:paraId="73519944" w14:textId="77777777" w:rsidTr="00A8307C">
        <w:trPr>
          <w:cantSplit/>
          <w:trHeight w:val="300"/>
        </w:trPr>
        <w:tc>
          <w:tcPr>
            <w:tcW w:w="7158" w:type="dxa"/>
            <w:tcBorders>
              <w:top w:val="single" w:sz="6" w:space="0" w:color="000000"/>
              <w:left w:val="single" w:sz="6" w:space="0" w:color="000000"/>
              <w:bottom w:val="single" w:sz="6" w:space="0" w:color="000000"/>
              <w:right w:val="single" w:sz="6" w:space="0" w:color="000000"/>
            </w:tcBorders>
            <w:vAlign w:val="center"/>
          </w:tcPr>
          <w:p w14:paraId="0F1F4883" w14:textId="77777777" w:rsidR="009F762E" w:rsidRPr="00242DFB" w:rsidRDefault="00000000" w:rsidP="002A0E52">
            <w:pPr>
              <w:shd w:val="clear" w:color="auto" w:fill="FFFFFF" w:themeFill="background1"/>
              <w:spacing w:line="360" w:lineRule="auto"/>
              <w:jc w:val="center"/>
              <w:rPr>
                <w:rFonts w:ascii="Arial" w:hAnsi="Arial" w:cs="Arial"/>
                <w:color w:val="000000" w:themeColor="text1"/>
              </w:rPr>
            </w:pPr>
            <w:r w:rsidRPr="00242DFB">
              <w:rPr>
                <w:rFonts w:ascii="Arial" w:eastAsia="Aptos" w:hAnsi="Arial" w:cs="Arial"/>
                <w:b/>
                <w:bCs/>
                <w:color w:val="000000" w:themeColor="text1"/>
              </w:rPr>
              <w:t>Biológico</w:t>
            </w:r>
          </w:p>
        </w:tc>
        <w:tc>
          <w:tcPr>
            <w:tcW w:w="1665" w:type="dxa"/>
            <w:tcBorders>
              <w:top w:val="single" w:sz="6" w:space="0" w:color="000000"/>
              <w:left w:val="single" w:sz="6" w:space="0" w:color="000000"/>
              <w:bottom w:val="single" w:sz="6" w:space="0" w:color="000000"/>
              <w:right w:val="single" w:sz="6" w:space="0" w:color="000000"/>
            </w:tcBorders>
            <w:vAlign w:val="center"/>
          </w:tcPr>
          <w:p w14:paraId="3E2D84EF" w14:textId="77777777" w:rsidR="009F762E" w:rsidRPr="00242DFB" w:rsidRDefault="00000000" w:rsidP="002A0E52">
            <w:pPr>
              <w:shd w:val="clear" w:color="auto" w:fill="FFFFFF" w:themeFill="background1"/>
              <w:spacing w:line="360" w:lineRule="auto"/>
              <w:jc w:val="center"/>
              <w:rPr>
                <w:rFonts w:ascii="Arial" w:hAnsi="Arial" w:cs="Arial"/>
                <w:color w:val="000000" w:themeColor="text1"/>
              </w:rPr>
            </w:pPr>
            <w:r w:rsidRPr="00242DFB">
              <w:rPr>
                <w:rFonts w:ascii="Arial" w:eastAsia="Aptos" w:hAnsi="Arial" w:cs="Arial"/>
                <w:b/>
                <w:bCs/>
                <w:color w:val="000000" w:themeColor="text1"/>
              </w:rPr>
              <w:t>Cobertura</w:t>
            </w:r>
          </w:p>
        </w:tc>
      </w:tr>
      <w:tr w:rsidR="009F762E" w:rsidRPr="00242DFB" w14:paraId="2B675610" w14:textId="77777777" w:rsidTr="00A8307C">
        <w:trPr>
          <w:cantSplit/>
          <w:trHeight w:val="300"/>
        </w:trPr>
        <w:tc>
          <w:tcPr>
            <w:tcW w:w="7158" w:type="dxa"/>
            <w:tcBorders>
              <w:top w:val="single" w:sz="6" w:space="0" w:color="000000"/>
              <w:left w:val="single" w:sz="6" w:space="0" w:color="000000"/>
              <w:bottom w:val="single" w:sz="6" w:space="0" w:color="000000"/>
              <w:right w:val="single" w:sz="6" w:space="0" w:color="000000"/>
            </w:tcBorders>
            <w:vAlign w:val="center"/>
          </w:tcPr>
          <w:p w14:paraId="1C71BABE" w14:textId="77777777" w:rsidR="009F762E" w:rsidRPr="00242DFB" w:rsidRDefault="00000000" w:rsidP="002A0E52">
            <w:pPr>
              <w:shd w:val="clear" w:color="auto" w:fill="FFFFFF" w:themeFill="background1"/>
              <w:spacing w:line="360" w:lineRule="auto"/>
              <w:rPr>
                <w:rFonts w:ascii="Arial" w:hAnsi="Arial" w:cs="Arial"/>
                <w:color w:val="000000" w:themeColor="text1"/>
              </w:rPr>
            </w:pPr>
            <w:r w:rsidRPr="00242DFB">
              <w:rPr>
                <w:rFonts w:ascii="Arial" w:eastAsia="Aptos" w:hAnsi="Arial" w:cs="Arial"/>
                <w:color w:val="000000" w:themeColor="text1"/>
              </w:rPr>
              <w:t>Pentavalente tercera dosis (&lt;1 año)</w:t>
            </w:r>
          </w:p>
        </w:tc>
        <w:tc>
          <w:tcPr>
            <w:tcW w:w="1665" w:type="dxa"/>
            <w:tcBorders>
              <w:top w:val="single" w:sz="6" w:space="0" w:color="000000"/>
              <w:left w:val="single" w:sz="6" w:space="0" w:color="000000"/>
              <w:bottom w:val="single" w:sz="6" w:space="0" w:color="000000"/>
              <w:right w:val="single" w:sz="6" w:space="0" w:color="000000"/>
            </w:tcBorders>
            <w:vAlign w:val="center"/>
          </w:tcPr>
          <w:p w14:paraId="5215DA5F" w14:textId="77777777" w:rsidR="009F762E" w:rsidRPr="00242DFB" w:rsidRDefault="00000000" w:rsidP="000F41E0">
            <w:pPr>
              <w:shd w:val="clear" w:color="auto" w:fill="FFFFFF" w:themeFill="background1"/>
              <w:spacing w:line="360" w:lineRule="auto"/>
              <w:jc w:val="center"/>
              <w:rPr>
                <w:rFonts w:ascii="Arial" w:hAnsi="Arial" w:cs="Arial"/>
                <w:color w:val="000000" w:themeColor="text1"/>
              </w:rPr>
            </w:pPr>
            <w:r w:rsidRPr="00242DFB">
              <w:rPr>
                <w:rFonts w:ascii="Arial" w:eastAsia="Aptos" w:hAnsi="Arial" w:cs="Arial"/>
                <w:color w:val="000000" w:themeColor="text1"/>
              </w:rPr>
              <w:t>89,5%</w:t>
            </w:r>
          </w:p>
        </w:tc>
      </w:tr>
      <w:tr w:rsidR="009F762E" w:rsidRPr="00242DFB" w14:paraId="15734A78" w14:textId="77777777" w:rsidTr="00A8307C">
        <w:trPr>
          <w:cantSplit/>
          <w:trHeight w:val="300"/>
        </w:trPr>
        <w:tc>
          <w:tcPr>
            <w:tcW w:w="7158" w:type="dxa"/>
            <w:tcBorders>
              <w:top w:val="single" w:sz="6" w:space="0" w:color="000000"/>
              <w:left w:val="single" w:sz="6" w:space="0" w:color="000000"/>
              <w:bottom w:val="single" w:sz="6" w:space="0" w:color="000000"/>
              <w:right w:val="single" w:sz="6" w:space="0" w:color="000000"/>
            </w:tcBorders>
            <w:vAlign w:val="center"/>
          </w:tcPr>
          <w:p w14:paraId="365D7EB4" w14:textId="77777777" w:rsidR="009F762E" w:rsidRPr="00242DFB" w:rsidRDefault="00000000" w:rsidP="002A0E52">
            <w:pPr>
              <w:shd w:val="clear" w:color="auto" w:fill="FFFFFF" w:themeFill="background1"/>
              <w:spacing w:line="360" w:lineRule="auto"/>
              <w:rPr>
                <w:rFonts w:ascii="Arial" w:hAnsi="Arial" w:cs="Arial"/>
                <w:color w:val="000000" w:themeColor="text1"/>
              </w:rPr>
            </w:pPr>
            <w:r w:rsidRPr="00242DFB">
              <w:rPr>
                <w:rFonts w:ascii="Arial" w:eastAsia="Aptos" w:hAnsi="Arial" w:cs="Arial"/>
                <w:color w:val="000000" w:themeColor="text1"/>
              </w:rPr>
              <w:t>Triple viral primera dosis (1 año)</w:t>
            </w:r>
          </w:p>
        </w:tc>
        <w:tc>
          <w:tcPr>
            <w:tcW w:w="1665" w:type="dxa"/>
            <w:tcBorders>
              <w:top w:val="single" w:sz="6" w:space="0" w:color="000000"/>
              <w:left w:val="single" w:sz="6" w:space="0" w:color="000000"/>
              <w:bottom w:val="single" w:sz="6" w:space="0" w:color="000000"/>
              <w:right w:val="single" w:sz="6" w:space="0" w:color="000000"/>
            </w:tcBorders>
            <w:vAlign w:val="center"/>
          </w:tcPr>
          <w:p w14:paraId="3BD27F88" w14:textId="77777777" w:rsidR="009F762E" w:rsidRPr="00242DFB" w:rsidRDefault="00000000" w:rsidP="000F41E0">
            <w:pPr>
              <w:shd w:val="clear" w:color="auto" w:fill="FFFFFF" w:themeFill="background1"/>
              <w:spacing w:line="360" w:lineRule="auto"/>
              <w:jc w:val="center"/>
              <w:rPr>
                <w:rFonts w:ascii="Arial" w:hAnsi="Arial" w:cs="Arial"/>
                <w:color w:val="000000" w:themeColor="text1"/>
              </w:rPr>
            </w:pPr>
            <w:r w:rsidRPr="00242DFB">
              <w:rPr>
                <w:rFonts w:ascii="Arial" w:eastAsia="Aptos" w:hAnsi="Arial" w:cs="Arial"/>
                <w:color w:val="000000" w:themeColor="text1"/>
              </w:rPr>
              <w:t>81,8%</w:t>
            </w:r>
          </w:p>
        </w:tc>
      </w:tr>
      <w:tr w:rsidR="009F762E" w:rsidRPr="00242DFB" w14:paraId="1E49954E" w14:textId="77777777" w:rsidTr="00A8307C">
        <w:trPr>
          <w:cantSplit/>
          <w:trHeight w:val="300"/>
        </w:trPr>
        <w:tc>
          <w:tcPr>
            <w:tcW w:w="7158" w:type="dxa"/>
            <w:tcBorders>
              <w:top w:val="single" w:sz="6" w:space="0" w:color="000000"/>
              <w:left w:val="single" w:sz="6" w:space="0" w:color="000000"/>
              <w:bottom w:val="single" w:sz="6" w:space="0" w:color="000000"/>
              <w:right w:val="single" w:sz="6" w:space="0" w:color="000000"/>
            </w:tcBorders>
            <w:vAlign w:val="center"/>
          </w:tcPr>
          <w:p w14:paraId="02FC8AB4" w14:textId="77777777" w:rsidR="009F762E" w:rsidRPr="00242DFB" w:rsidRDefault="00000000" w:rsidP="002A0E52">
            <w:pPr>
              <w:shd w:val="clear" w:color="auto" w:fill="FFFFFF" w:themeFill="background1"/>
              <w:spacing w:line="360" w:lineRule="auto"/>
              <w:rPr>
                <w:rFonts w:ascii="Arial" w:hAnsi="Arial" w:cs="Arial"/>
                <w:color w:val="000000" w:themeColor="text1"/>
              </w:rPr>
            </w:pPr>
            <w:r w:rsidRPr="00242DFB">
              <w:rPr>
                <w:rFonts w:ascii="Arial" w:eastAsia="Aptos" w:hAnsi="Arial" w:cs="Arial"/>
                <w:color w:val="000000" w:themeColor="text1"/>
              </w:rPr>
              <w:t>Refuerzo triple viral (18 meses)</w:t>
            </w:r>
          </w:p>
        </w:tc>
        <w:tc>
          <w:tcPr>
            <w:tcW w:w="1665" w:type="dxa"/>
            <w:tcBorders>
              <w:top w:val="single" w:sz="6" w:space="0" w:color="000000"/>
              <w:left w:val="single" w:sz="6" w:space="0" w:color="000000"/>
              <w:bottom w:val="single" w:sz="6" w:space="0" w:color="000000"/>
              <w:right w:val="single" w:sz="6" w:space="0" w:color="000000"/>
            </w:tcBorders>
            <w:vAlign w:val="center"/>
          </w:tcPr>
          <w:p w14:paraId="2D61DC34" w14:textId="77777777" w:rsidR="009F762E" w:rsidRPr="00242DFB" w:rsidRDefault="00000000" w:rsidP="000F41E0">
            <w:pPr>
              <w:shd w:val="clear" w:color="auto" w:fill="FFFFFF" w:themeFill="background1"/>
              <w:spacing w:line="360" w:lineRule="auto"/>
              <w:jc w:val="center"/>
              <w:rPr>
                <w:rFonts w:ascii="Arial" w:hAnsi="Arial" w:cs="Arial"/>
                <w:color w:val="000000" w:themeColor="text1"/>
              </w:rPr>
            </w:pPr>
            <w:r w:rsidRPr="00242DFB">
              <w:rPr>
                <w:rFonts w:ascii="Arial" w:eastAsia="Aptos" w:hAnsi="Arial" w:cs="Arial"/>
                <w:color w:val="000000" w:themeColor="text1"/>
              </w:rPr>
              <w:t>73,0%</w:t>
            </w:r>
          </w:p>
        </w:tc>
      </w:tr>
      <w:tr w:rsidR="009F762E" w:rsidRPr="00242DFB" w14:paraId="7C70400D" w14:textId="77777777" w:rsidTr="00A8307C">
        <w:trPr>
          <w:cantSplit/>
          <w:trHeight w:val="300"/>
        </w:trPr>
        <w:tc>
          <w:tcPr>
            <w:tcW w:w="7158" w:type="dxa"/>
            <w:tcBorders>
              <w:top w:val="single" w:sz="6" w:space="0" w:color="000000"/>
              <w:left w:val="single" w:sz="6" w:space="0" w:color="000000"/>
              <w:bottom w:val="single" w:sz="6" w:space="0" w:color="000000"/>
              <w:right w:val="single" w:sz="6" w:space="0" w:color="000000"/>
            </w:tcBorders>
            <w:vAlign w:val="center"/>
          </w:tcPr>
          <w:p w14:paraId="07F196B9" w14:textId="77777777" w:rsidR="009F762E" w:rsidRPr="00242DFB" w:rsidRDefault="00000000" w:rsidP="002A0E52">
            <w:pPr>
              <w:shd w:val="clear" w:color="auto" w:fill="FFFFFF" w:themeFill="background1"/>
              <w:spacing w:line="360" w:lineRule="auto"/>
              <w:rPr>
                <w:rFonts w:ascii="Arial" w:hAnsi="Arial" w:cs="Arial"/>
                <w:color w:val="000000" w:themeColor="text1"/>
              </w:rPr>
            </w:pPr>
            <w:r w:rsidRPr="00242DFB">
              <w:rPr>
                <w:rFonts w:ascii="Arial" w:eastAsia="Aptos" w:hAnsi="Arial" w:cs="Arial"/>
                <w:color w:val="000000" w:themeColor="text1"/>
              </w:rPr>
              <w:t>Fiebre amarilla (18 meses)</w:t>
            </w:r>
          </w:p>
        </w:tc>
        <w:tc>
          <w:tcPr>
            <w:tcW w:w="1665" w:type="dxa"/>
            <w:tcBorders>
              <w:top w:val="single" w:sz="6" w:space="0" w:color="000000"/>
              <w:left w:val="single" w:sz="6" w:space="0" w:color="000000"/>
              <w:bottom w:val="single" w:sz="6" w:space="0" w:color="000000"/>
              <w:right w:val="single" w:sz="6" w:space="0" w:color="000000"/>
            </w:tcBorders>
            <w:vAlign w:val="center"/>
          </w:tcPr>
          <w:p w14:paraId="5A2FF253" w14:textId="77777777" w:rsidR="009F762E" w:rsidRPr="00242DFB" w:rsidRDefault="00000000" w:rsidP="000F41E0">
            <w:pPr>
              <w:shd w:val="clear" w:color="auto" w:fill="FFFFFF" w:themeFill="background1"/>
              <w:spacing w:line="360" w:lineRule="auto"/>
              <w:jc w:val="center"/>
              <w:rPr>
                <w:rFonts w:ascii="Arial" w:hAnsi="Arial" w:cs="Arial"/>
                <w:color w:val="000000" w:themeColor="text1"/>
              </w:rPr>
            </w:pPr>
            <w:r w:rsidRPr="00242DFB">
              <w:rPr>
                <w:rFonts w:ascii="Arial" w:eastAsia="Aptos" w:hAnsi="Arial" w:cs="Arial"/>
                <w:color w:val="000000" w:themeColor="text1"/>
              </w:rPr>
              <w:t>90,0%</w:t>
            </w:r>
          </w:p>
        </w:tc>
      </w:tr>
      <w:tr w:rsidR="009F762E" w:rsidRPr="00242DFB" w14:paraId="42580027" w14:textId="77777777" w:rsidTr="00A8307C">
        <w:trPr>
          <w:cantSplit/>
          <w:trHeight w:val="300"/>
        </w:trPr>
        <w:tc>
          <w:tcPr>
            <w:tcW w:w="7158" w:type="dxa"/>
            <w:tcBorders>
              <w:top w:val="single" w:sz="6" w:space="0" w:color="000000"/>
              <w:left w:val="single" w:sz="6" w:space="0" w:color="000000"/>
              <w:bottom w:val="single" w:sz="6" w:space="0" w:color="000000"/>
              <w:right w:val="single" w:sz="6" w:space="0" w:color="000000"/>
            </w:tcBorders>
            <w:vAlign w:val="center"/>
          </w:tcPr>
          <w:p w14:paraId="7956341F" w14:textId="77777777" w:rsidR="009F762E" w:rsidRPr="00242DFB" w:rsidRDefault="00000000" w:rsidP="002A0E52">
            <w:pPr>
              <w:shd w:val="clear" w:color="auto" w:fill="FFFFFF" w:themeFill="background1"/>
              <w:spacing w:line="360" w:lineRule="auto"/>
              <w:rPr>
                <w:rFonts w:ascii="Arial" w:hAnsi="Arial" w:cs="Arial"/>
                <w:color w:val="000000" w:themeColor="text1"/>
              </w:rPr>
            </w:pPr>
            <w:r w:rsidRPr="00242DFB">
              <w:rPr>
                <w:rFonts w:ascii="Arial" w:eastAsia="Aptos" w:hAnsi="Arial" w:cs="Arial"/>
                <w:color w:val="000000" w:themeColor="text1"/>
              </w:rPr>
              <w:t>Refuerzo DPT (5 años)</w:t>
            </w:r>
          </w:p>
        </w:tc>
        <w:tc>
          <w:tcPr>
            <w:tcW w:w="1665" w:type="dxa"/>
            <w:tcBorders>
              <w:top w:val="single" w:sz="6" w:space="0" w:color="000000"/>
              <w:left w:val="single" w:sz="6" w:space="0" w:color="000000"/>
              <w:bottom w:val="single" w:sz="6" w:space="0" w:color="000000"/>
              <w:right w:val="single" w:sz="6" w:space="0" w:color="000000"/>
            </w:tcBorders>
            <w:vAlign w:val="center"/>
          </w:tcPr>
          <w:p w14:paraId="7B1A7DC6" w14:textId="77777777" w:rsidR="009F762E" w:rsidRPr="00242DFB" w:rsidRDefault="00000000" w:rsidP="000F41E0">
            <w:pPr>
              <w:shd w:val="clear" w:color="auto" w:fill="FFFFFF" w:themeFill="background1"/>
              <w:spacing w:line="360" w:lineRule="auto"/>
              <w:jc w:val="center"/>
              <w:rPr>
                <w:rFonts w:ascii="Arial" w:hAnsi="Arial" w:cs="Arial"/>
                <w:color w:val="000000" w:themeColor="text1"/>
              </w:rPr>
            </w:pPr>
            <w:r w:rsidRPr="00242DFB">
              <w:rPr>
                <w:rFonts w:ascii="Arial" w:eastAsia="Aptos" w:hAnsi="Arial" w:cs="Arial"/>
                <w:color w:val="000000" w:themeColor="text1"/>
              </w:rPr>
              <w:t>52,3%</w:t>
            </w:r>
          </w:p>
        </w:tc>
      </w:tr>
    </w:tbl>
    <w:p w14:paraId="450AAF4F" w14:textId="7BE3F7A6" w:rsidR="009F762E" w:rsidRPr="00242DFB" w:rsidRDefault="000F41E0" w:rsidP="002A0E52">
      <w:pPr>
        <w:shd w:val="clear" w:color="auto" w:fill="FFFFFF" w:themeFill="background1"/>
        <w:spacing w:line="360" w:lineRule="auto"/>
        <w:jc w:val="both"/>
        <w:rPr>
          <w:rFonts w:ascii="Arial" w:eastAsia="Aptos" w:hAnsi="Arial" w:cs="Arial"/>
          <w:color w:val="000000" w:themeColor="text1"/>
          <w:sz w:val="16"/>
          <w:szCs w:val="16"/>
        </w:rPr>
      </w:pPr>
      <w:r w:rsidRPr="00242DFB">
        <w:rPr>
          <w:rFonts w:ascii="Arial" w:eastAsia="Aptos" w:hAnsi="Arial" w:cs="Arial"/>
          <w:color w:val="000000" w:themeColor="text1"/>
          <w:sz w:val="16"/>
          <w:szCs w:val="16"/>
        </w:rPr>
        <w:t>Fuente: BDUA de Subsecretaría de Aseguramiento, corte a 31 de diciembre de 2025; Tablero de control de vacunación trazadores de 0 a 5 años; Aplicativo PAI 2.5 SDS; Sistema de Información PAI; Secretaría Distrital de Salud, Bogotá, enero-diciembre de 2025.</w:t>
      </w:r>
    </w:p>
    <w:p w14:paraId="71BFEFE3" w14:textId="77777777" w:rsidR="000F41E0" w:rsidRPr="00242DFB" w:rsidRDefault="000F41E0" w:rsidP="002A0E52">
      <w:pPr>
        <w:shd w:val="clear" w:color="auto" w:fill="FFFFFF" w:themeFill="background1"/>
        <w:spacing w:line="360" w:lineRule="auto"/>
        <w:jc w:val="both"/>
        <w:rPr>
          <w:rFonts w:ascii="Arial" w:eastAsia="Aptos" w:hAnsi="Arial" w:cs="Arial"/>
          <w:color w:val="000000" w:themeColor="text1"/>
        </w:rPr>
      </w:pPr>
    </w:p>
    <w:p w14:paraId="45F44D0E" w14:textId="77777777" w:rsidR="009F762E" w:rsidRPr="00242DFB" w:rsidRDefault="00000000" w:rsidP="00F27FAD">
      <w:pPr>
        <w:shd w:val="clear" w:color="auto" w:fill="FFFFFF" w:themeFill="background1"/>
        <w:spacing w:line="360" w:lineRule="auto"/>
        <w:jc w:val="both"/>
        <w:rPr>
          <w:rFonts w:ascii="Arial" w:eastAsia="Aptos" w:hAnsi="Arial" w:cs="Arial"/>
          <w:color w:val="000000"/>
        </w:rPr>
      </w:pPr>
      <w:r w:rsidRPr="00242DFB">
        <w:rPr>
          <w:rFonts w:ascii="Arial" w:eastAsia="Aptos" w:hAnsi="Arial" w:cs="Arial"/>
          <w:color w:val="000000"/>
        </w:rPr>
        <w:t>Se identifican brechas significativas en la captación y vacunación de la población susceptible, siendo particularmente crítica la cobertura del segundo refuerzo de DPT en niños de cinco años.</w:t>
      </w:r>
    </w:p>
    <w:p w14:paraId="2932EB5F" w14:textId="77777777" w:rsidR="0050558F" w:rsidRPr="00242DFB" w:rsidRDefault="0050558F" w:rsidP="00F27FAD">
      <w:pPr>
        <w:shd w:val="clear" w:color="auto" w:fill="FFFFFF" w:themeFill="background1"/>
        <w:spacing w:line="360" w:lineRule="auto"/>
        <w:jc w:val="both"/>
        <w:rPr>
          <w:rFonts w:ascii="Arial" w:hAnsi="Arial" w:cs="Arial"/>
          <w:color w:val="000000" w:themeColor="text1"/>
        </w:rPr>
      </w:pPr>
    </w:p>
    <w:p w14:paraId="61F4C051" w14:textId="037EE121" w:rsidR="00F27FAD" w:rsidRPr="00242DFB" w:rsidRDefault="00F27FAD" w:rsidP="00F27FAD">
      <w:pPr>
        <w:pStyle w:val="Ttulo3"/>
        <w:numPr>
          <w:ilvl w:val="2"/>
          <w:numId w:val="12"/>
        </w:numPr>
        <w:spacing w:before="0" w:line="360" w:lineRule="auto"/>
        <w:jc w:val="both"/>
        <w:rPr>
          <w:rFonts w:ascii="Arial" w:hAnsi="Arial" w:cs="Arial"/>
          <w:b/>
          <w:bCs/>
          <w:color w:val="000000" w:themeColor="text1"/>
        </w:rPr>
      </w:pPr>
      <w:r w:rsidRPr="00242DFB">
        <w:rPr>
          <w:rFonts w:ascii="Arial" w:hAnsi="Arial" w:cs="Arial"/>
          <w:b/>
          <w:bCs/>
          <w:color w:val="000000" w:themeColor="text1"/>
        </w:rPr>
        <w:t>Triple viral primera dosis (1 año)</w:t>
      </w:r>
    </w:p>
    <w:p w14:paraId="57AD4D51" w14:textId="77777777" w:rsidR="00F27FAD" w:rsidRPr="00242DFB" w:rsidRDefault="00F27FAD" w:rsidP="00F27FAD">
      <w:pPr>
        <w:spacing w:line="360" w:lineRule="auto"/>
        <w:jc w:val="both"/>
        <w:rPr>
          <w:rFonts w:ascii="Arial" w:hAnsi="Arial" w:cs="Arial"/>
        </w:rPr>
      </w:pPr>
    </w:p>
    <w:p w14:paraId="17E5600B" w14:textId="77777777" w:rsidR="00F27FAD" w:rsidRPr="00F27FAD" w:rsidRDefault="00F27FAD" w:rsidP="00F27FAD">
      <w:pPr>
        <w:spacing w:line="360" w:lineRule="auto"/>
        <w:jc w:val="both"/>
        <w:rPr>
          <w:rFonts w:ascii="Arial" w:hAnsi="Arial" w:cs="Arial"/>
        </w:rPr>
      </w:pPr>
      <w:r w:rsidRPr="00F27FAD">
        <w:rPr>
          <w:rFonts w:ascii="Arial" w:hAnsi="Arial" w:cs="Arial"/>
        </w:rPr>
        <w:t xml:space="preserve">El resultado del </w:t>
      </w:r>
      <w:r w:rsidRPr="00F27FAD">
        <w:rPr>
          <w:rFonts w:ascii="Arial" w:hAnsi="Arial" w:cs="Arial"/>
          <w:b/>
          <w:bCs/>
        </w:rPr>
        <w:t>refuerzo de triple viral a los 18 meses</w:t>
      </w:r>
      <w:r w:rsidRPr="00F27FAD">
        <w:rPr>
          <w:rFonts w:ascii="Arial" w:hAnsi="Arial" w:cs="Arial"/>
        </w:rPr>
        <w:t xml:space="preserve"> en la población afiliada a </w:t>
      </w:r>
      <w:r w:rsidRPr="00F27FAD">
        <w:rPr>
          <w:rFonts w:ascii="Arial" w:hAnsi="Arial" w:cs="Arial"/>
          <w:b/>
          <w:bCs/>
        </w:rPr>
        <w:t>Capital Salud EPS-S</w:t>
      </w:r>
      <w:r w:rsidRPr="00F27FAD">
        <w:rPr>
          <w:rFonts w:ascii="Arial" w:hAnsi="Arial" w:cs="Arial"/>
        </w:rPr>
        <w:t xml:space="preserve"> evidencia una cobertura de </w:t>
      </w:r>
      <w:r w:rsidRPr="00F27FAD">
        <w:rPr>
          <w:rFonts w:ascii="Arial" w:hAnsi="Arial" w:cs="Arial"/>
          <w:b/>
          <w:bCs/>
        </w:rPr>
        <w:t>73,0%</w:t>
      </w:r>
      <w:r w:rsidRPr="00F27FAD">
        <w:rPr>
          <w:rFonts w:ascii="Arial" w:hAnsi="Arial" w:cs="Arial"/>
        </w:rPr>
        <w:t xml:space="preserve">, valor inferior a la meta mínima esperada del </w:t>
      </w:r>
      <w:r w:rsidRPr="00F27FAD">
        <w:rPr>
          <w:rFonts w:ascii="Arial" w:hAnsi="Arial" w:cs="Arial"/>
          <w:b/>
          <w:bCs/>
        </w:rPr>
        <w:t>95%</w:t>
      </w:r>
      <w:r w:rsidRPr="00F27FAD">
        <w:rPr>
          <w:rFonts w:ascii="Arial" w:hAnsi="Arial" w:cs="Arial"/>
        </w:rPr>
        <w:t xml:space="preserve"> para el Programa Ampliado de Inmunizaciones —PAI—. Este comportamiento configura un incumplimiento programático y refleja una brecha relevante en el cierre oportuno de esquemas de vacunación en la primera infancia.</w:t>
      </w:r>
    </w:p>
    <w:p w14:paraId="55A2399F" w14:textId="77777777" w:rsidR="00F27FAD" w:rsidRPr="00242DFB" w:rsidRDefault="00F27FAD" w:rsidP="00F27FAD">
      <w:pPr>
        <w:spacing w:line="360" w:lineRule="auto"/>
        <w:jc w:val="both"/>
        <w:rPr>
          <w:rFonts w:ascii="Arial" w:hAnsi="Arial" w:cs="Arial"/>
        </w:rPr>
      </w:pPr>
      <w:r w:rsidRPr="00F27FAD">
        <w:rPr>
          <w:rFonts w:ascii="Arial" w:hAnsi="Arial" w:cs="Arial"/>
        </w:rPr>
        <w:t xml:space="preserve">La triple viral protege contra </w:t>
      </w:r>
      <w:r w:rsidRPr="00F27FAD">
        <w:rPr>
          <w:rFonts w:ascii="Arial" w:hAnsi="Arial" w:cs="Arial"/>
          <w:b/>
          <w:bCs/>
        </w:rPr>
        <w:t>sarampión, rubéola y paperas</w:t>
      </w:r>
      <w:r w:rsidRPr="00F27FAD">
        <w:rPr>
          <w:rFonts w:ascii="Arial" w:hAnsi="Arial" w:cs="Arial"/>
        </w:rPr>
        <w:t xml:space="preserve">, enfermedades inmunoprevenibles que requieren coberturas altas y sostenidas para reducir el riesgo de transmisión y acumulación de población susceptible. Si bien una cobertura del 73,0% muestra que existe avance en la aplicación del refuerzo, el resultado indica que aproximadamente una cuarta parte de la población objetivo no cuenta </w:t>
      </w:r>
      <w:r w:rsidRPr="00F27FAD">
        <w:rPr>
          <w:rFonts w:ascii="Arial" w:hAnsi="Arial" w:cs="Arial"/>
        </w:rPr>
        <w:lastRenderedPageBreak/>
        <w:t>con el refuerzo esperado a los 18 meses, lo que limita la protección individual y colectiva.</w:t>
      </w:r>
    </w:p>
    <w:p w14:paraId="17804AE6" w14:textId="77777777" w:rsidR="00F27FAD" w:rsidRPr="00F27FAD" w:rsidRDefault="00F27FAD" w:rsidP="00F27FAD">
      <w:pPr>
        <w:spacing w:line="360" w:lineRule="auto"/>
        <w:jc w:val="both"/>
        <w:rPr>
          <w:rFonts w:ascii="Arial" w:hAnsi="Arial" w:cs="Arial"/>
        </w:rPr>
      </w:pPr>
    </w:p>
    <w:p w14:paraId="4B89685F" w14:textId="77777777" w:rsidR="00F27FAD" w:rsidRPr="00242DFB" w:rsidRDefault="00F27FAD" w:rsidP="00F27FAD">
      <w:pPr>
        <w:spacing w:line="360" w:lineRule="auto"/>
        <w:jc w:val="both"/>
        <w:rPr>
          <w:rFonts w:ascii="Arial" w:hAnsi="Arial" w:cs="Arial"/>
        </w:rPr>
      </w:pPr>
      <w:r w:rsidRPr="00F27FAD">
        <w:rPr>
          <w:rFonts w:ascii="Arial" w:hAnsi="Arial" w:cs="Arial"/>
        </w:rPr>
        <w:t>Desde la perspectiva de gestión del riesgo, este hallazgo sugiere debilidades en el seguimiento nominal de niños y niñas que ya iniciaron su esquema de vacunación, pero que no completaron oportunamente el refuerzo. Esto puede estar relacionado con fallas en la demanda inducida, recordatorio a cuidadores, búsqueda activa de inasistentes, articulación con IPS vacunadoras, actualización de bases nominales o barreras de acceso a los puntos de vacunación.</w:t>
      </w:r>
    </w:p>
    <w:p w14:paraId="5C2B1ADC" w14:textId="77777777" w:rsidR="00F27FAD" w:rsidRPr="00F27FAD" w:rsidRDefault="00F27FAD" w:rsidP="00F27FAD">
      <w:pPr>
        <w:spacing w:line="360" w:lineRule="auto"/>
        <w:jc w:val="both"/>
        <w:rPr>
          <w:rFonts w:ascii="Arial" w:hAnsi="Arial" w:cs="Arial"/>
        </w:rPr>
      </w:pPr>
    </w:p>
    <w:p w14:paraId="7175D5A8" w14:textId="77777777" w:rsidR="00F27FAD" w:rsidRPr="00F27FAD" w:rsidRDefault="00F27FAD" w:rsidP="00F27FAD">
      <w:pPr>
        <w:spacing w:line="360" w:lineRule="auto"/>
        <w:jc w:val="both"/>
        <w:rPr>
          <w:rFonts w:ascii="Arial" w:hAnsi="Arial" w:cs="Arial"/>
        </w:rPr>
      </w:pPr>
      <w:r w:rsidRPr="00F27FAD">
        <w:rPr>
          <w:rFonts w:ascii="Arial" w:hAnsi="Arial" w:cs="Arial"/>
        </w:rPr>
        <w:t>En consecuencia, Capital Salud EPS-S debe fortalecer las acciones de identificación de menores pendientes, seguimiento individualizado de esquemas incompletos, contacto efectivo con padres y cuidadores, jornadas extramurales e institucionales, y monitoreo periódico por localidad, IPS asignada y estado de vacunación. El cierre de esta brecha debe priorizarse dentro del plan de mejoramiento de la EPS, dado que el refuerzo de triple viral a los 18 meses es una intervención clave para mantener la protección en primera infancia y prevenir la aparición de brotes de enfermedades inmunoprevenibles.</w:t>
      </w:r>
    </w:p>
    <w:p w14:paraId="3CF26A28" w14:textId="77777777" w:rsidR="00F27FAD" w:rsidRPr="00242DFB" w:rsidRDefault="00F27FAD" w:rsidP="00F27FAD">
      <w:pPr>
        <w:spacing w:line="360" w:lineRule="auto"/>
        <w:rPr>
          <w:rFonts w:ascii="Arial" w:hAnsi="Arial" w:cs="Arial"/>
        </w:rPr>
      </w:pPr>
    </w:p>
    <w:p w14:paraId="483CE661" w14:textId="6A9DD153" w:rsidR="009F762E" w:rsidRPr="00242DFB" w:rsidRDefault="00000000" w:rsidP="00F27FAD">
      <w:pPr>
        <w:pStyle w:val="Ttulo3"/>
        <w:numPr>
          <w:ilvl w:val="2"/>
          <w:numId w:val="12"/>
        </w:numPr>
        <w:spacing w:before="0" w:line="360" w:lineRule="auto"/>
        <w:jc w:val="both"/>
        <w:rPr>
          <w:rFonts w:ascii="Arial" w:hAnsi="Arial" w:cs="Arial"/>
          <w:b/>
          <w:bCs/>
        </w:rPr>
      </w:pPr>
      <w:r w:rsidRPr="00242DFB">
        <w:rPr>
          <w:rFonts w:ascii="Arial" w:hAnsi="Arial" w:cs="Arial"/>
          <w:b/>
          <w:bCs/>
          <w:color w:val="000000" w:themeColor="text1"/>
        </w:rPr>
        <w:t>Vacunación contra Virus del Papiloma Humano (VPH)</w:t>
      </w:r>
    </w:p>
    <w:p w14:paraId="48FA87F5" w14:textId="77777777" w:rsidR="00E84FA7" w:rsidRPr="00242DFB" w:rsidRDefault="00E84FA7" w:rsidP="00E84FA7">
      <w:pPr>
        <w:spacing w:line="360" w:lineRule="auto"/>
        <w:jc w:val="both"/>
        <w:rPr>
          <w:rFonts w:ascii="Arial" w:eastAsia="Aptos" w:hAnsi="Arial" w:cs="Arial"/>
        </w:rPr>
      </w:pPr>
    </w:p>
    <w:p w14:paraId="451F83BC" w14:textId="77777777" w:rsidR="00E84FA7" w:rsidRPr="00242DFB" w:rsidRDefault="00E84FA7" w:rsidP="00E84FA7">
      <w:pPr>
        <w:spacing w:line="360" w:lineRule="auto"/>
        <w:jc w:val="both"/>
        <w:rPr>
          <w:rFonts w:ascii="Arial" w:eastAsiaTheme="majorEastAsia" w:hAnsi="Arial" w:cs="Arial"/>
          <w:color w:val="000000" w:themeColor="text1"/>
        </w:rPr>
      </w:pPr>
      <w:r w:rsidRPr="00242DFB">
        <w:rPr>
          <w:rFonts w:ascii="Arial" w:eastAsiaTheme="majorEastAsia" w:hAnsi="Arial" w:cs="Arial"/>
          <w:color w:val="000000" w:themeColor="text1"/>
        </w:rPr>
        <w:t>Los resultados de vacunación contra el Virus del Papiloma Humano —VPH— en la población afiliada a Capital Salud EPS-S evidencian bajos niveles de cobertura en la cohorte de 9 años, tanto en niñas como en niños. Para el caso de las niñas, se reporta una cobertura de 40,9%, correspondiente a 2.769 vacunadas frente a una meta de 6.774. En los niños, la cobertura fue de 39,4%, con 2.566 vacunados frente a una meta de 6.513.</w:t>
      </w:r>
    </w:p>
    <w:p w14:paraId="46187741" w14:textId="77777777" w:rsidR="00E84FA7" w:rsidRPr="00242DFB" w:rsidRDefault="00E84FA7" w:rsidP="00E84FA7">
      <w:pPr>
        <w:spacing w:line="360" w:lineRule="auto"/>
        <w:jc w:val="both"/>
        <w:rPr>
          <w:rFonts w:ascii="Arial" w:eastAsiaTheme="majorEastAsia" w:hAnsi="Arial" w:cs="Arial"/>
          <w:color w:val="000000" w:themeColor="text1"/>
        </w:rPr>
      </w:pPr>
    </w:p>
    <w:p w14:paraId="650DA8AC" w14:textId="77777777" w:rsidR="00E84FA7" w:rsidRPr="00242DFB" w:rsidRDefault="00E84FA7" w:rsidP="00E84FA7">
      <w:pPr>
        <w:spacing w:line="360" w:lineRule="auto"/>
        <w:jc w:val="both"/>
        <w:rPr>
          <w:rFonts w:ascii="Arial" w:eastAsiaTheme="majorEastAsia" w:hAnsi="Arial" w:cs="Arial"/>
          <w:color w:val="000000" w:themeColor="text1"/>
        </w:rPr>
      </w:pPr>
      <w:r w:rsidRPr="00242DFB">
        <w:rPr>
          <w:rFonts w:ascii="Arial" w:eastAsiaTheme="majorEastAsia" w:hAnsi="Arial" w:cs="Arial"/>
          <w:color w:val="000000" w:themeColor="text1"/>
        </w:rPr>
        <w:t xml:space="preserve">En conjunto, la cohorte evaluada registra 5.335 niños y niñas vacunados de una meta total de 13.287, lo que representa una cobertura global aproximada de 40,2%. Esto significa que cerca de 7.952 menores de la población objetivo aún no registran </w:t>
      </w:r>
      <w:r w:rsidRPr="00242DFB">
        <w:rPr>
          <w:rFonts w:ascii="Arial" w:eastAsiaTheme="majorEastAsia" w:hAnsi="Arial" w:cs="Arial"/>
          <w:color w:val="000000" w:themeColor="text1"/>
        </w:rPr>
        <w:lastRenderedPageBreak/>
        <w:t>vacunación contra VPH, situación que configura una brecha relevante frente al cumplimiento programático y frente a las metas de protección poblacional esperadas.</w:t>
      </w:r>
    </w:p>
    <w:p w14:paraId="2D2410F4" w14:textId="77777777" w:rsidR="00E84FA7" w:rsidRPr="00242DFB" w:rsidRDefault="00E84FA7" w:rsidP="00E84FA7">
      <w:pPr>
        <w:spacing w:line="360" w:lineRule="auto"/>
        <w:jc w:val="both"/>
        <w:rPr>
          <w:rFonts w:ascii="Arial" w:eastAsiaTheme="majorEastAsia" w:hAnsi="Arial" w:cs="Arial"/>
          <w:color w:val="000000" w:themeColor="text1"/>
        </w:rPr>
      </w:pPr>
    </w:p>
    <w:p w14:paraId="580CC578" w14:textId="77777777" w:rsidR="00E84FA7" w:rsidRPr="00242DFB" w:rsidRDefault="00E84FA7" w:rsidP="00E84FA7">
      <w:pPr>
        <w:spacing w:line="360" w:lineRule="auto"/>
        <w:jc w:val="both"/>
        <w:rPr>
          <w:rFonts w:ascii="Arial" w:eastAsiaTheme="majorEastAsia" w:hAnsi="Arial" w:cs="Arial"/>
          <w:color w:val="000000" w:themeColor="text1"/>
        </w:rPr>
      </w:pPr>
      <w:r w:rsidRPr="00242DFB">
        <w:rPr>
          <w:rFonts w:ascii="Arial" w:eastAsiaTheme="majorEastAsia" w:hAnsi="Arial" w:cs="Arial"/>
          <w:color w:val="000000" w:themeColor="text1"/>
        </w:rPr>
        <w:t>Este comportamiento constituye una alerta en salud pública, dado que la vacunación contra VPH es una intervención preventiva clave para reducir el riesgo futuro de enfermedades asociadas a este virus, especialmente cáncer de cuello uterino y otras patologías relacionadas. La baja cobertura observada sugiere posibles debilidades en la identificación nominal de la cohorte, demanda inducida, búsqueda activa, articulación con instituciones educativas, comunicación del riesgo a padres y cuidadores, disponibilidad de puntos de vacunación y seguimiento efectivo a menores pendientes.</w:t>
      </w:r>
    </w:p>
    <w:p w14:paraId="524899DB" w14:textId="77777777" w:rsidR="00E84FA7" w:rsidRPr="00242DFB" w:rsidRDefault="00E84FA7" w:rsidP="00E84FA7">
      <w:pPr>
        <w:spacing w:line="360" w:lineRule="auto"/>
        <w:jc w:val="both"/>
        <w:rPr>
          <w:rFonts w:ascii="Arial" w:eastAsiaTheme="majorEastAsia" w:hAnsi="Arial" w:cs="Arial"/>
          <w:color w:val="000000" w:themeColor="text1"/>
        </w:rPr>
      </w:pPr>
    </w:p>
    <w:p w14:paraId="7D007783" w14:textId="77777777" w:rsidR="00E84FA7" w:rsidRPr="00242DFB" w:rsidRDefault="00E84FA7" w:rsidP="00E84FA7">
      <w:pPr>
        <w:spacing w:line="360" w:lineRule="auto"/>
        <w:jc w:val="both"/>
        <w:rPr>
          <w:rFonts w:ascii="Arial" w:eastAsiaTheme="majorEastAsia" w:hAnsi="Arial" w:cs="Arial"/>
          <w:color w:val="000000" w:themeColor="text1"/>
        </w:rPr>
      </w:pPr>
      <w:r w:rsidRPr="00242DFB">
        <w:rPr>
          <w:rFonts w:ascii="Arial" w:eastAsiaTheme="majorEastAsia" w:hAnsi="Arial" w:cs="Arial"/>
          <w:color w:val="000000" w:themeColor="text1"/>
        </w:rPr>
        <w:t>Desde la perspectiva de gestión del riesgo en salud, el resultado no debe interpretarse únicamente como un incumplimiento de cobertura, sino como una oportunidad perdida de prevención primaria en una población priorizada. La baja captación en niñas y niños de 9 años puede generar acumulación de susceptibles y limitar el impacto esperado de las estrategias de inmunización en el mediano y largo plazo.</w:t>
      </w:r>
    </w:p>
    <w:p w14:paraId="1E4C4C3F" w14:textId="77777777" w:rsidR="00E84FA7" w:rsidRPr="00242DFB" w:rsidRDefault="00E84FA7" w:rsidP="00E84FA7">
      <w:pPr>
        <w:spacing w:line="360" w:lineRule="auto"/>
        <w:jc w:val="both"/>
        <w:rPr>
          <w:rFonts w:ascii="Arial" w:eastAsiaTheme="majorEastAsia" w:hAnsi="Arial" w:cs="Arial"/>
          <w:color w:val="000000" w:themeColor="text1"/>
        </w:rPr>
      </w:pPr>
    </w:p>
    <w:p w14:paraId="15F5E483" w14:textId="77777777" w:rsidR="00E84FA7" w:rsidRPr="00242DFB" w:rsidRDefault="00E84FA7" w:rsidP="00E84FA7">
      <w:pPr>
        <w:spacing w:line="360" w:lineRule="auto"/>
        <w:jc w:val="both"/>
        <w:rPr>
          <w:rFonts w:ascii="Arial" w:eastAsiaTheme="majorEastAsia" w:hAnsi="Arial" w:cs="Arial"/>
          <w:color w:val="000000" w:themeColor="text1"/>
        </w:rPr>
      </w:pPr>
      <w:r w:rsidRPr="00242DFB">
        <w:rPr>
          <w:rFonts w:ascii="Arial" w:eastAsiaTheme="majorEastAsia" w:hAnsi="Arial" w:cs="Arial"/>
          <w:color w:val="000000" w:themeColor="text1"/>
        </w:rPr>
        <w:t>En este contexto, la Secretaría Distrital de Salud concluye que existe incumplimiento en la vacunación contra VPH en la población afiliada a Capital Salud EPS-S, recomendando fortalecer las estrategias de búsqueda activa, captación, demanda inducida y articulación territorial. Para ello, se requiere que la EPS implemente acciones verificables orientadas a depurar y actualizar la base nominal de la cohorte, identificar menores pendientes, realizar seguimiento individual, coordinar jornadas extramurales e institucionales, fortalecer la comunicación con familias y cuidadores, y monitorear periódicamente el avance de cobertura por localidad, sexo, IPS responsable y estado de vacunación.</w:t>
      </w:r>
    </w:p>
    <w:p w14:paraId="0D42444E" w14:textId="77777777" w:rsidR="00E84FA7" w:rsidRPr="00242DFB" w:rsidRDefault="00E84FA7" w:rsidP="00E84FA7">
      <w:pPr>
        <w:spacing w:line="360" w:lineRule="auto"/>
        <w:jc w:val="both"/>
        <w:rPr>
          <w:rFonts w:ascii="Arial" w:eastAsiaTheme="majorEastAsia" w:hAnsi="Arial" w:cs="Arial"/>
          <w:color w:val="000000" w:themeColor="text1"/>
        </w:rPr>
      </w:pPr>
    </w:p>
    <w:p w14:paraId="154C3C40" w14:textId="77777777" w:rsidR="00E84FA7" w:rsidRPr="00242DFB" w:rsidRDefault="00E84FA7" w:rsidP="00E84FA7">
      <w:pPr>
        <w:spacing w:line="360" w:lineRule="auto"/>
        <w:jc w:val="both"/>
        <w:rPr>
          <w:rFonts w:ascii="Arial" w:eastAsiaTheme="majorEastAsia" w:hAnsi="Arial" w:cs="Arial"/>
          <w:color w:val="000000" w:themeColor="text1"/>
        </w:rPr>
      </w:pPr>
      <w:r w:rsidRPr="00242DFB">
        <w:rPr>
          <w:rFonts w:ascii="Arial" w:eastAsiaTheme="majorEastAsia" w:hAnsi="Arial" w:cs="Arial"/>
          <w:color w:val="000000" w:themeColor="text1"/>
        </w:rPr>
        <w:lastRenderedPageBreak/>
        <w:t>En síntesis, las coberturas de 40,9% en niñas y 39,4% en niños evidencian una brecha significativa en la protección contra VPH en Capital Salud EPS-S. Este hallazgo debe priorizarse dentro del plan de mejoramiento de la EPS, con metas de recuperación de cobertura, responsables definidos, seguimiento nominal y evaluación periódica del cierre efectivo de la población pendiente.</w:t>
      </w:r>
    </w:p>
    <w:p w14:paraId="4E8A570E" w14:textId="77777777" w:rsidR="00E84FA7" w:rsidRPr="00242DFB" w:rsidRDefault="00E84FA7" w:rsidP="00F04631">
      <w:pPr>
        <w:rPr>
          <w:rFonts w:ascii="Arial" w:hAnsi="Arial" w:cs="Arial"/>
        </w:rPr>
      </w:pPr>
    </w:p>
    <w:p w14:paraId="0F4C78E1" w14:textId="77777777" w:rsidR="00E84FA7" w:rsidRPr="00242DFB" w:rsidRDefault="00E84FA7" w:rsidP="00E84FA7">
      <w:pPr>
        <w:rPr>
          <w:rFonts w:ascii="Arial" w:hAnsi="Arial" w:cs="Arial"/>
        </w:rPr>
      </w:pPr>
    </w:p>
    <w:p w14:paraId="158B146B" w14:textId="2508D8B1" w:rsidR="009F762E" w:rsidRPr="00242DFB" w:rsidRDefault="00000000" w:rsidP="00E84FA7">
      <w:pPr>
        <w:pStyle w:val="Ttulo3"/>
        <w:numPr>
          <w:ilvl w:val="2"/>
          <w:numId w:val="12"/>
        </w:numPr>
        <w:jc w:val="both"/>
        <w:rPr>
          <w:rFonts w:ascii="Arial" w:hAnsi="Arial" w:cs="Arial"/>
          <w:b/>
          <w:bCs/>
          <w:color w:val="000000" w:themeColor="text1"/>
        </w:rPr>
      </w:pPr>
      <w:r w:rsidRPr="00242DFB">
        <w:rPr>
          <w:rFonts w:ascii="Arial" w:hAnsi="Arial" w:cs="Arial"/>
          <w:b/>
          <w:bCs/>
          <w:color w:val="000000" w:themeColor="text1"/>
        </w:rPr>
        <w:t>Vacunación contra Influenza Estacional</w:t>
      </w:r>
    </w:p>
    <w:p w14:paraId="5FA460EB" w14:textId="77777777" w:rsidR="00E84FA7" w:rsidRPr="00242DFB" w:rsidRDefault="00E84FA7" w:rsidP="002A0E52">
      <w:pPr>
        <w:shd w:val="clear" w:color="auto" w:fill="FFFFFF" w:themeFill="background1"/>
        <w:spacing w:line="360" w:lineRule="auto"/>
        <w:jc w:val="both"/>
        <w:rPr>
          <w:rFonts w:ascii="Arial" w:eastAsia="Aptos" w:hAnsi="Arial" w:cs="Arial"/>
          <w:color w:val="000000"/>
        </w:rPr>
      </w:pPr>
    </w:p>
    <w:p w14:paraId="55B7BA26" w14:textId="77777777" w:rsidR="00B62695" w:rsidRPr="00242DFB" w:rsidRDefault="00B62695" w:rsidP="00B62695">
      <w:pPr>
        <w:shd w:val="clear" w:color="auto" w:fill="FFFFFF" w:themeFill="background1"/>
        <w:spacing w:line="360" w:lineRule="auto"/>
        <w:jc w:val="both"/>
        <w:rPr>
          <w:rFonts w:ascii="Arial" w:hAnsi="Arial" w:cs="Arial"/>
          <w:color w:val="000000" w:themeColor="text1"/>
        </w:rPr>
      </w:pPr>
      <w:r w:rsidRPr="00B62695">
        <w:rPr>
          <w:rFonts w:ascii="Arial" w:hAnsi="Arial" w:cs="Arial"/>
          <w:color w:val="000000" w:themeColor="text1"/>
        </w:rPr>
        <w:t>En relación con la vacunación contra influenza en la población afiliada a Capital Salud EPS-S, los resultados evidencian un comportamiento heterogéneo según grupo poblacional evaluado. Se observa cumplimiento únicamente en la primera dosis de influenza en menores de un año, con una cobertura del 100%, así como en la población con patologías crónicas, que también alcanzó una cobertura del 100%. Estos resultados muestran capacidad de respuesta en dos grupos específicos; sin embargo, no reflejan un cumplimiento integral del componente de vacunación, dado que persisten brechas importantes en los demás grupos priorizados.</w:t>
      </w:r>
    </w:p>
    <w:p w14:paraId="3AE82DD8" w14:textId="77777777" w:rsidR="00B62695" w:rsidRPr="00B62695" w:rsidRDefault="00B62695" w:rsidP="00B62695">
      <w:pPr>
        <w:shd w:val="clear" w:color="auto" w:fill="FFFFFF" w:themeFill="background1"/>
        <w:spacing w:line="360" w:lineRule="auto"/>
        <w:jc w:val="both"/>
        <w:rPr>
          <w:rFonts w:ascii="Arial" w:hAnsi="Arial" w:cs="Arial"/>
          <w:color w:val="000000" w:themeColor="text1"/>
        </w:rPr>
      </w:pPr>
    </w:p>
    <w:p w14:paraId="046D213F" w14:textId="77777777" w:rsidR="00B62695" w:rsidRPr="00242DFB" w:rsidRDefault="00B62695" w:rsidP="00B62695">
      <w:pPr>
        <w:shd w:val="clear" w:color="auto" w:fill="FFFFFF" w:themeFill="background1"/>
        <w:spacing w:line="360" w:lineRule="auto"/>
        <w:jc w:val="both"/>
        <w:rPr>
          <w:rFonts w:ascii="Arial" w:hAnsi="Arial" w:cs="Arial"/>
          <w:color w:val="000000" w:themeColor="text1"/>
        </w:rPr>
      </w:pPr>
      <w:r w:rsidRPr="00B62695">
        <w:rPr>
          <w:rFonts w:ascii="Arial" w:hAnsi="Arial" w:cs="Arial"/>
          <w:color w:val="000000" w:themeColor="text1"/>
        </w:rPr>
        <w:t>En menores de un año, aunque se alcanza cobertura completa en la primera dosis, la segunda dosis registra una cobertura de 66,0%, lo que evidencia una pérdida significativa en la continuidad del esquema. Este hallazgo es relevante, dado que la protección esperada frente a influenza en esta población depende no solo de la captación inicial, sino del cierre efectivo del esquema. La diferencia entre la primera y segunda dosis sugiere debilidades en el seguimiento nominal, recordatorio a cuidadores, demanda inducida y búsqueda activa de menores pendientes.</w:t>
      </w:r>
    </w:p>
    <w:p w14:paraId="50940A96" w14:textId="77777777" w:rsidR="00B62695" w:rsidRPr="00B62695" w:rsidRDefault="00B62695" w:rsidP="00B62695">
      <w:pPr>
        <w:shd w:val="clear" w:color="auto" w:fill="FFFFFF" w:themeFill="background1"/>
        <w:spacing w:line="360" w:lineRule="auto"/>
        <w:jc w:val="both"/>
        <w:rPr>
          <w:rFonts w:ascii="Arial" w:hAnsi="Arial" w:cs="Arial"/>
          <w:color w:val="000000" w:themeColor="text1"/>
        </w:rPr>
      </w:pPr>
    </w:p>
    <w:p w14:paraId="69A10E67" w14:textId="77777777" w:rsidR="00B62695" w:rsidRPr="00242DFB" w:rsidRDefault="00B62695" w:rsidP="00B62695">
      <w:pPr>
        <w:shd w:val="clear" w:color="auto" w:fill="FFFFFF" w:themeFill="background1"/>
        <w:spacing w:line="360" w:lineRule="auto"/>
        <w:jc w:val="both"/>
        <w:rPr>
          <w:rFonts w:ascii="Arial" w:hAnsi="Arial" w:cs="Arial"/>
          <w:color w:val="000000" w:themeColor="text1"/>
        </w:rPr>
      </w:pPr>
      <w:r w:rsidRPr="00B62695">
        <w:rPr>
          <w:rFonts w:ascii="Arial" w:hAnsi="Arial" w:cs="Arial"/>
          <w:color w:val="000000" w:themeColor="text1"/>
        </w:rPr>
        <w:t xml:space="preserve">En la población de niños de un año, las coberturas también se encuentran por debajo de la meta esperada, con 65,5% en primera dosis, 57,3% en segunda dosis y 58,3% en dosis única. Este comportamiento indica una brecha sostenida en la captación y continuidad de la vacunación infantil, especialmente en una etapa del curso de vida donde la prevención de infecciones respiratorias resulta prioritaria por </w:t>
      </w:r>
      <w:r w:rsidRPr="00B62695">
        <w:rPr>
          <w:rFonts w:ascii="Arial" w:hAnsi="Arial" w:cs="Arial"/>
          <w:color w:val="000000" w:themeColor="text1"/>
        </w:rPr>
        <w:lastRenderedPageBreak/>
        <w:t>el riesgo de complicaciones, consultas por urgencias, hospitalización y afectación en población vulnerable.</w:t>
      </w:r>
    </w:p>
    <w:p w14:paraId="1B4552FF" w14:textId="77777777" w:rsidR="00B62695" w:rsidRPr="00B62695" w:rsidRDefault="00B62695" w:rsidP="00B62695">
      <w:pPr>
        <w:shd w:val="clear" w:color="auto" w:fill="FFFFFF" w:themeFill="background1"/>
        <w:spacing w:line="360" w:lineRule="auto"/>
        <w:jc w:val="both"/>
        <w:rPr>
          <w:rFonts w:ascii="Arial" w:hAnsi="Arial" w:cs="Arial"/>
          <w:color w:val="000000" w:themeColor="text1"/>
        </w:rPr>
      </w:pPr>
    </w:p>
    <w:p w14:paraId="62B27F2D" w14:textId="77777777" w:rsidR="00B62695" w:rsidRPr="00B62695" w:rsidRDefault="00B62695" w:rsidP="00B62695">
      <w:pPr>
        <w:shd w:val="clear" w:color="auto" w:fill="FFFFFF" w:themeFill="background1"/>
        <w:spacing w:line="360" w:lineRule="auto"/>
        <w:jc w:val="both"/>
        <w:rPr>
          <w:rFonts w:ascii="Arial" w:hAnsi="Arial" w:cs="Arial"/>
          <w:color w:val="000000" w:themeColor="text1"/>
        </w:rPr>
      </w:pPr>
      <w:r w:rsidRPr="00B62695">
        <w:rPr>
          <w:rFonts w:ascii="Arial" w:hAnsi="Arial" w:cs="Arial"/>
          <w:color w:val="000000" w:themeColor="text1"/>
        </w:rPr>
        <w:t>En los grupos de mayor riesgo, los resultados muestran coberturas insuficientes en adultos mayores de 60 años, con 66,7%, y en gestantes, con 58,0%. Estos dos grupos requieren especial seguimiento, dado que presentan mayor riesgo de complicaciones asociadas a influenza. En el caso de las gestantes, la baja cobertura adquiere relevancia adicional por su relación con la protección materna y neonatal, por lo que debe articularse con la Ruta Integral de Atención Materno Perinatal, el control prenatal y la verificación del esquema de vacunación durante la gestación.</w:t>
      </w:r>
    </w:p>
    <w:p w14:paraId="6DB6513B" w14:textId="77777777" w:rsidR="00B62695" w:rsidRPr="00242DFB" w:rsidRDefault="00B62695" w:rsidP="00B62695">
      <w:pPr>
        <w:shd w:val="clear" w:color="auto" w:fill="FFFFFF" w:themeFill="background1"/>
        <w:spacing w:line="360" w:lineRule="auto"/>
        <w:jc w:val="both"/>
        <w:rPr>
          <w:rFonts w:ascii="Arial" w:hAnsi="Arial" w:cs="Arial"/>
          <w:color w:val="000000" w:themeColor="text1"/>
        </w:rPr>
      </w:pPr>
    </w:p>
    <w:p w14:paraId="74C5C18D" w14:textId="783393B4" w:rsidR="00B62695" w:rsidRPr="00242DFB" w:rsidRDefault="00B62695" w:rsidP="00B62695">
      <w:pPr>
        <w:shd w:val="clear" w:color="auto" w:fill="FFFFFF" w:themeFill="background1"/>
        <w:spacing w:line="360" w:lineRule="auto"/>
        <w:jc w:val="both"/>
        <w:rPr>
          <w:rFonts w:ascii="Arial" w:hAnsi="Arial" w:cs="Arial"/>
          <w:color w:val="000000" w:themeColor="text1"/>
        </w:rPr>
      </w:pPr>
      <w:r w:rsidRPr="00B62695">
        <w:rPr>
          <w:rFonts w:ascii="Arial" w:hAnsi="Arial" w:cs="Arial"/>
          <w:color w:val="000000" w:themeColor="text1"/>
        </w:rPr>
        <w:t>En contraste, la cobertura del 100% en población con patologías crónicas constituye un resultado favorable, que sugiere una mejor identificación y gestión de este grupo de riesgo. No obstante, este cumplimiento debe mantenerse mediante seguimiento nominal, actualización permanente de cohortes y articulación con los programas de gestión del riesgo de enfermedades crónicas.</w:t>
      </w:r>
    </w:p>
    <w:p w14:paraId="29276BB3" w14:textId="77777777" w:rsidR="00B62695" w:rsidRPr="00B62695" w:rsidRDefault="00B62695" w:rsidP="00B62695">
      <w:pPr>
        <w:shd w:val="clear" w:color="auto" w:fill="FFFFFF" w:themeFill="background1"/>
        <w:spacing w:line="360" w:lineRule="auto"/>
        <w:jc w:val="both"/>
        <w:rPr>
          <w:rFonts w:ascii="Arial" w:hAnsi="Arial" w:cs="Arial"/>
          <w:color w:val="000000" w:themeColor="text1"/>
        </w:rPr>
      </w:pPr>
    </w:p>
    <w:p w14:paraId="619F471D" w14:textId="77777777" w:rsidR="00B62695" w:rsidRPr="00B62695" w:rsidRDefault="00B62695" w:rsidP="00B62695">
      <w:pPr>
        <w:shd w:val="clear" w:color="auto" w:fill="FFFFFF" w:themeFill="background1"/>
        <w:spacing w:line="360" w:lineRule="auto"/>
        <w:jc w:val="both"/>
        <w:rPr>
          <w:rFonts w:ascii="Arial" w:hAnsi="Arial" w:cs="Arial"/>
          <w:color w:val="000000" w:themeColor="text1"/>
        </w:rPr>
      </w:pPr>
      <w:r w:rsidRPr="00B62695">
        <w:rPr>
          <w:rFonts w:ascii="Arial" w:hAnsi="Arial" w:cs="Arial"/>
          <w:color w:val="000000" w:themeColor="text1"/>
        </w:rPr>
        <w:t>En síntesis, aunque Capital Salud EPS-S evidencia cumplimiento en la primera dosis de influenza en menores de un año y en población con patologías crónicas, persisten incumplimientos relevantes en la continuidad del esquema infantil, niños de un año, adultos mayores y gestantes. Estos hallazgos orientan la necesidad de fortalecer las estrategias de búsqueda activa, demanda inducida, seguimiento nominal de esquemas incompletos, articulación con IPS vacunadoras, control prenatal y canales territoriales de captación, con énfasis en el cierre efectivo de brechas y no únicamente en la aplicación inicial de dosis.</w:t>
      </w:r>
    </w:p>
    <w:p w14:paraId="239C6D2B" w14:textId="77777777" w:rsidR="00927866" w:rsidRPr="00242DFB" w:rsidRDefault="00927866" w:rsidP="002A0E52">
      <w:pPr>
        <w:shd w:val="clear" w:color="auto" w:fill="FFFFFF" w:themeFill="background1"/>
        <w:spacing w:line="360" w:lineRule="auto"/>
        <w:jc w:val="both"/>
        <w:rPr>
          <w:rFonts w:ascii="Arial" w:hAnsi="Arial" w:cs="Arial"/>
          <w:color w:val="000000" w:themeColor="text1"/>
        </w:rPr>
      </w:pPr>
    </w:p>
    <w:p w14:paraId="5EF6EA7A" w14:textId="17A3B129" w:rsidR="009F762E" w:rsidRPr="00242DFB" w:rsidRDefault="00000000" w:rsidP="00927866">
      <w:pPr>
        <w:pStyle w:val="Ttulo3"/>
        <w:numPr>
          <w:ilvl w:val="2"/>
          <w:numId w:val="12"/>
        </w:numPr>
        <w:jc w:val="both"/>
        <w:rPr>
          <w:rFonts w:ascii="Arial" w:hAnsi="Arial" w:cs="Arial"/>
          <w:b/>
          <w:bCs/>
          <w:color w:val="000000" w:themeColor="text1"/>
        </w:rPr>
      </w:pPr>
      <w:r w:rsidRPr="00242DFB">
        <w:rPr>
          <w:rFonts w:ascii="Arial" w:hAnsi="Arial" w:cs="Arial"/>
          <w:b/>
          <w:bCs/>
          <w:color w:val="000000" w:themeColor="text1"/>
        </w:rPr>
        <w:t>Vacunación contra Fiebre Amarilla</w:t>
      </w:r>
    </w:p>
    <w:p w14:paraId="37CE814F" w14:textId="77777777" w:rsidR="00927866" w:rsidRPr="00242DFB" w:rsidRDefault="00927866" w:rsidP="002A0E52">
      <w:pPr>
        <w:shd w:val="clear" w:color="auto" w:fill="FFFFFF" w:themeFill="background1"/>
        <w:spacing w:line="360" w:lineRule="auto"/>
        <w:jc w:val="both"/>
        <w:rPr>
          <w:rFonts w:ascii="Arial" w:eastAsia="Aptos" w:hAnsi="Arial" w:cs="Arial"/>
          <w:color w:val="000000"/>
        </w:rPr>
      </w:pPr>
    </w:p>
    <w:p w14:paraId="304EE103" w14:textId="77777777" w:rsidR="00F04631" w:rsidRPr="00242DFB" w:rsidRDefault="00F04631" w:rsidP="00F04631">
      <w:pPr>
        <w:shd w:val="clear" w:color="auto" w:fill="FFFFFF" w:themeFill="background1"/>
        <w:spacing w:line="360" w:lineRule="auto"/>
        <w:jc w:val="both"/>
        <w:rPr>
          <w:rFonts w:ascii="Arial" w:hAnsi="Arial" w:cs="Arial"/>
          <w:color w:val="000000" w:themeColor="text1"/>
        </w:rPr>
      </w:pPr>
      <w:r w:rsidRPr="00F04631">
        <w:rPr>
          <w:rFonts w:ascii="Arial" w:hAnsi="Arial" w:cs="Arial"/>
          <w:color w:val="000000" w:themeColor="text1"/>
        </w:rPr>
        <w:t xml:space="preserve">La información reportada para </w:t>
      </w:r>
      <w:r w:rsidRPr="00F04631">
        <w:rPr>
          <w:rFonts w:ascii="Arial" w:hAnsi="Arial" w:cs="Arial"/>
          <w:b/>
          <w:bCs/>
          <w:color w:val="000000" w:themeColor="text1"/>
        </w:rPr>
        <w:t>fiebre amarilla</w:t>
      </w:r>
      <w:r w:rsidRPr="00F04631">
        <w:rPr>
          <w:rFonts w:ascii="Arial" w:hAnsi="Arial" w:cs="Arial"/>
          <w:color w:val="000000" w:themeColor="text1"/>
        </w:rPr>
        <w:t xml:space="preserve"> requiere validación y depuración antes de ser utilizada como cifra definitiva en el informe, dado que se identifica una inconsistencia entre la cobertura acumulada señalada y los valores absolutos </w:t>
      </w:r>
      <w:r w:rsidRPr="00F04631">
        <w:rPr>
          <w:rFonts w:ascii="Arial" w:hAnsi="Arial" w:cs="Arial"/>
          <w:color w:val="000000" w:themeColor="text1"/>
        </w:rPr>
        <w:lastRenderedPageBreak/>
        <w:t xml:space="preserve">registrados. En el reporte se menciona una cobertura acumulada de </w:t>
      </w:r>
      <w:r w:rsidRPr="00F04631">
        <w:rPr>
          <w:rFonts w:ascii="Arial" w:hAnsi="Arial" w:cs="Arial"/>
          <w:b/>
          <w:bCs/>
          <w:color w:val="000000" w:themeColor="text1"/>
        </w:rPr>
        <w:t>75,9%</w:t>
      </w:r>
      <w:r w:rsidRPr="00F04631">
        <w:rPr>
          <w:rFonts w:ascii="Arial" w:hAnsi="Arial" w:cs="Arial"/>
          <w:color w:val="000000" w:themeColor="text1"/>
        </w:rPr>
        <w:t xml:space="preserve">; sin embargo, los datos absolutos indican una </w:t>
      </w:r>
      <w:r w:rsidRPr="00F04631">
        <w:rPr>
          <w:rFonts w:ascii="Arial" w:hAnsi="Arial" w:cs="Arial"/>
          <w:b/>
          <w:bCs/>
          <w:color w:val="000000" w:themeColor="text1"/>
        </w:rPr>
        <w:t>meta de 53.581 personas</w:t>
      </w:r>
      <w:r w:rsidRPr="00F04631">
        <w:rPr>
          <w:rFonts w:ascii="Arial" w:hAnsi="Arial" w:cs="Arial"/>
          <w:color w:val="000000" w:themeColor="text1"/>
        </w:rPr>
        <w:t xml:space="preserve">, </w:t>
      </w:r>
      <w:r w:rsidRPr="00F04631">
        <w:rPr>
          <w:rFonts w:ascii="Arial" w:hAnsi="Arial" w:cs="Arial"/>
          <w:b/>
          <w:bCs/>
          <w:color w:val="000000" w:themeColor="text1"/>
        </w:rPr>
        <w:t>1.759 vacunados</w:t>
      </w:r>
      <w:r w:rsidRPr="00F04631">
        <w:rPr>
          <w:rFonts w:ascii="Arial" w:hAnsi="Arial" w:cs="Arial"/>
          <w:color w:val="000000" w:themeColor="text1"/>
        </w:rPr>
        <w:t xml:space="preserve"> y </w:t>
      </w:r>
      <w:r w:rsidRPr="00F04631">
        <w:rPr>
          <w:rFonts w:ascii="Arial" w:hAnsi="Arial" w:cs="Arial"/>
          <w:b/>
          <w:bCs/>
          <w:color w:val="000000" w:themeColor="text1"/>
        </w:rPr>
        <w:t>51.822 pendientes por vacunar</w:t>
      </w:r>
      <w:r w:rsidRPr="00F04631">
        <w:rPr>
          <w:rFonts w:ascii="Arial" w:hAnsi="Arial" w:cs="Arial"/>
          <w:color w:val="000000" w:themeColor="text1"/>
        </w:rPr>
        <w:t xml:space="preserve">. Con estos valores, la cobertura calculada corresponde aproximadamente al </w:t>
      </w:r>
      <w:r w:rsidRPr="00F04631">
        <w:rPr>
          <w:rFonts w:ascii="Arial" w:hAnsi="Arial" w:cs="Arial"/>
          <w:b/>
          <w:bCs/>
          <w:color w:val="000000" w:themeColor="text1"/>
        </w:rPr>
        <w:t>3,3%</w:t>
      </w:r>
      <w:r w:rsidRPr="00F04631">
        <w:rPr>
          <w:rFonts w:ascii="Arial" w:hAnsi="Arial" w:cs="Arial"/>
          <w:color w:val="000000" w:themeColor="text1"/>
        </w:rPr>
        <w:t>, resultado que no es consistente con el porcentaje reportado inicialmente.</w:t>
      </w:r>
    </w:p>
    <w:p w14:paraId="13BB9F53" w14:textId="77777777" w:rsidR="00F04631" w:rsidRPr="00F04631" w:rsidRDefault="00F04631" w:rsidP="00F04631">
      <w:pPr>
        <w:shd w:val="clear" w:color="auto" w:fill="FFFFFF" w:themeFill="background1"/>
        <w:spacing w:line="360" w:lineRule="auto"/>
        <w:jc w:val="both"/>
        <w:rPr>
          <w:rFonts w:ascii="Arial" w:hAnsi="Arial" w:cs="Arial"/>
          <w:color w:val="000000" w:themeColor="text1"/>
        </w:rPr>
      </w:pPr>
    </w:p>
    <w:p w14:paraId="5D1AEEF4" w14:textId="77777777" w:rsidR="00F04631" w:rsidRPr="00242DFB" w:rsidRDefault="00F04631" w:rsidP="00F04631">
      <w:pPr>
        <w:shd w:val="clear" w:color="auto" w:fill="FFFFFF" w:themeFill="background1"/>
        <w:spacing w:line="360" w:lineRule="auto"/>
        <w:jc w:val="both"/>
        <w:rPr>
          <w:rFonts w:ascii="Arial" w:hAnsi="Arial" w:cs="Arial"/>
          <w:color w:val="000000" w:themeColor="text1"/>
        </w:rPr>
      </w:pPr>
      <w:r w:rsidRPr="00F04631">
        <w:rPr>
          <w:rFonts w:ascii="Arial" w:hAnsi="Arial" w:cs="Arial"/>
          <w:color w:val="000000" w:themeColor="text1"/>
        </w:rPr>
        <w:t xml:space="preserve">Esta diferencia puede obedecer a errores en el denominador utilizado, mezcla de cohortes, corte de información diferente, duplicidad de registros, rezagos en el cargue nominal, diferencias entre población susceptible y población total priorizada, o inconsistencias en la consolidación de la base. Por tanto, no se recomienda presentar el dato de </w:t>
      </w:r>
      <w:r w:rsidRPr="00F04631">
        <w:rPr>
          <w:rFonts w:ascii="Arial" w:hAnsi="Arial" w:cs="Arial"/>
          <w:b/>
          <w:bCs/>
          <w:color w:val="000000" w:themeColor="text1"/>
        </w:rPr>
        <w:t>75,9%</w:t>
      </w:r>
      <w:r w:rsidRPr="00F04631">
        <w:rPr>
          <w:rFonts w:ascii="Arial" w:hAnsi="Arial" w:cs="Arial"/>
          <w:color w:val="000000" w:themeColor="text1"/>
        </w:rPr>
        <w:t xml:space="preserve"> como cobertura final hasta confirmar la fuente oficial, el periodo evaluado, la cohorte incluida y el denominador aplicado para el cálculo.</w:t>
      </w:r>
    </w:p>
    <w:p w14:paraId="7F4CB331" w14:textId="77777777" w:rsidR="00F04631" w:rsidRPr="00F04631" w:rsidRDefault="00F04631" w:rsidP="00F04631">
      <w:pPr>
        <w:shd w:val="clear" w:color="auto" w:fill="FFFFFF" w:themeFill="background1"/>
        <w:spacing w:line="360" w:lineRule="auto"/>
        <w:jc w:val="both"/>
        <w:rPr>
          <w:rFonts w:ascii="Arial" w:hAnsi="Arial" w:cs="Arial"/>
          <w:color w:val="000000" w:themeColor="text1"/>
        </w:rPr>
      </w:pPr>
    </w:p>
    <w:p w14:paraId="6D4DEFB0" w14:textId="77777777" w:rsidR="00F04631" w:rsidRPr="00242DFB" w:rsidRDefault="00F04631" w:rsidP="00F04631">
      <w:pPr>
        <w:shd w:val="clear" w:color="auto" w:fill="FFFFFF" w:themeFill="background1"/>
        <w:spacing w:line="360" w:lineRule="auto"/>
        <w:jc w:val="both"/>
        <w:rPr>
          <w:rFonts w:ascii="Arial" w:hAnsi="Arial" w:cs="Arial"/>
          <w:color w:val="000000" w:themeColor="text1"/>
        </w:rPr>
      </w:pPr>
      <w:r w:rsidRPr="00F04631">
        <w:rPr>
          <w:rFonts w:ascii="Arial" w:hAnsi="Arial" w:cs="Arial"/>
          <w:color w:val="000000" w:themeColor="text1"/>
        </w:rPr>
        <w:t xml:space="preserve">De acuerdo con la información disponible, los resultados preliminares son los siguientes: </w:t>
      </w:r>
      <w:r w:rsidRPr="00F04631">
        <w:rPr>
          <w:rFonts w:ascii="Arial" w:hAnsi="Arial" w:cs="Arial"/>
          <w:b/>
          <w:bCs/>
          <w:color w:val="000000" w:themeColor="text1"/>
        </w:rPr>
        <w:t>meta de 53.581 personas</w:t>
      </w:r>
      <w:r w:rsidRPr="00F04631">
        <w:rPr>
          <w:rFonts w:ascii="Arial" w:hAnsi="Arial" w:cs="Arial"/>
          <w:color w:val="000000" w:themeColor="text1"/>
        </w:rPr>
        <w:t xml:space="preserve">, </w:t>
      </w:r>
      <w:r w:rsidRPr="00F04631">
        <w:rPr>
          <w:rFonts w:ascii="Arial" w:hAnsi="Arial" w:cs="Arial"/>
          <w:b/>
          <w:bCs/>
          <w:color w:val="000000" w:themeColor="text1"/>
        </w:rPr>
        <w:t>1.759 personas vacunadas</w:t>
      </w:r>
      <w:r w:rsidRPr="00F04631">
        <w:rPr>
          <w:rFonts w:ascii="Arial" w:hAnsi="Arial" w:cs="Arial"/>
          <w:color w:val="000000" w:themeColor="text1"/>
        </w:rPr>
        <w:t xml:space="preserve"> y </w:t>
      </w:r>
      <w:r w:rsidRPr="00F04631">
        <w:rPr>
          <w:rFonts w:ascii="Arial" w:hAnsi="Arial" w:cs="Arial"/>
          <w:b/>
          <w:bCs/>
          <w:color w:val="000000" w:themeColor="text1"/>
        </w:rPr>
        <w:t>51.822 pendientes por vacunar</w:t>
      </w:r>
      <w:r w:rsidRPr="00F04631">
        <w:rPr>
          <w:rFonts w:ascii="Arial" w:hAnsi="Arial" w:cs="Arial"/>
          <w:color w:val="000000" w:themeColor="text1"/>
        </w:rPr>
        <w:t>. Este comportamiento, si se confirma sobre el mismo denominador, evidenciaría una brecha importante en la captación y vacunación de la población susceptible, con necesidad de acciones inmediatas de búsqueda activa, depuración nominal y seguimiento territorial.</w:t>
      </w:r>
    </w:p>
    <w:p w14:paraId="16D5A207" w14:textId="77777777" w:rsidR="00F04631" w:rsidRPr="00F04631" w:rsidRDefault="00F04631" w:rsidP="00F04631">
      <w:pPr>
        <w:shd w:val="clear" w:color="auto" w:fill="FFFFFF" w:themeFill="background1"/>
        <w:spacing w:line="360" w:lineRule="auto"/>
        <w:jc w:val="both"/>
        <w:rPr>
          <w:rFonts w:ascii="Arial" w:hAnsi="Arial" w:cs="Arial"/>
          <w:color w:val="000000" w:themeColor="text1"/>
        </w:rPr>
      </w:pPr>
    </w:p>
    <w:p w14:paraId="61F1261A" w14:textId="77777777" w:rsidR="00F04631" w:rsidRPr="00242DFB" w:rsidRDefault="00F04631" w:rsidP="00F04631">
      <w:pPr>
        <w:shd w:val="clear" w:color="auto" w:fill="FFFFFF" w:themeFill="background1"/>
        <w:spacing w:line="360" w:lineRule="auto"/>
        <w:jc w:val="both"/>
        <w:rPr>
          <w:rFonts w:ascii="Arial" w:hAnsi="Arial" w:cs="Arial"/>
          <w:color w:val="000000" w:themeColor="text1"/>
        </w:rPr>
      </w:pPr>
      <w:r w:rsidRPr="00F04631">
        <w:rPr>
          <w:rFonts w:ascii="Arial" w:hAnsi="Arial" w:cs="Arial"/>
          <w:color w:val="000000" w:themeColor="text1"/>
        </w:rPr>
        <w:t xml:space="preserve">Desde la perspectiva de salud pública, la vacunación contra fiebre amarilla requiere especial control en población susceptible, grupos priorizados y personas con exposición o tránsito hacia zonas de riesgo. En consecuencia, la Secretaría Distrital de Salud reitera la necesidad de fortalecer las actividades de </w:t>
      </w:r>
      <w:r w:rsidRPr="00F04631">
        <w:rPr>
          <w:rFonts w:ascii="Arial" w:hAnsi="Arial" w:cs="Arial"/>
          <w:b/>
          <w:bCs/>
          <w:color w:val="000000" w:themeColor="text1"/>
        </w:rPr>
        <w:t>identificación, captación, demanda inducida y vacunación efectiva</w:t>
      </w:r>
      <w:r w:rsidRPr="00F04631">
        <w:rPr>
          <w:rFonts w:ascii="Arial" w:hAnsi="Arial" w:cs="Arial"/>
          <w:color w:val="000000" w:themeColor="text1"/>
        </w:rPr>
        <w:t>, garantizando que la EPS cuente con bases nominales depuradas, población pendiente claramente identificada, puntos de vacunación disponibles, articulación con IPS vacunadoras y seguimiento periódico al cierre de brechas.</w:t>
      </w:r>
    </w:p>
    <w:p w14:paraId="2E244DBF" w14:textId="77777777" w:rsidR="00F04631" w:rsidRPr="00F04631" w:rsidRDefault="00F04631" w:rsidP="00F04631">
      <w:pPr>
        <w:shd w:val="clear" w:color="auto" w:fill="FFFFFF" w:themeFill="background1"/>
        <w:spacing w:line="360" w:lineRule="auto"/>
        <w:jc w:val="both"/>
        <w:rPr>
          <w:rFonts w:ascii="Arial" w:hAnsi="Arial" w:cs="Arial"/>
          <w:color w:val="000000" w:themeColor="text1"/>
        </w:rPr>
      </w:pPr>
    </w:p>
    <w:p w14:paraId="7B4F9453" w14:textId="77777777" w:rsidR="00F04631" w:rsidRPr="00F04631" w:rsidRDefault="00F04631" w:rsidP="00F04631">
      <w:pPr>
        <w:shd w:val="clear" w:color="auto" w:fill="FFFFFF" w:themeFill="background1"/>
        <w:spacing w:line="360" w:lineRule="auto"/>
        <w:jc w:val="both"/>
        <w:rPr>
          <w:rFonts w:ascii="Arial" w:hAnsi="Arial" w:cs="Arial"/>
          <w:color w:val="000000" w:themeColor="text1"/>
        </w:rPr>
      </w:pPr>
      <w:r w:rsidRPr="00F04631">
        <w:rPr>
          <w:rFonts w:ascii="Arial" w:hAnsi="Arial" w:cs="Arial"/>
          <w:color w:val="000000" w:themeColor="text1"/>
        </w:rPr>
        <w:t xml:space="preserve">En síntesis, antes de incorporar este indicador como resultado final del informe, se recomienda validar el cálculo con la fuente oficial, confirmar si el porcentaje de </w:t>
      </w:r>
      <w:r w:rsidRPr="00F04631">
        <w:rPr>
          <w:rFonts w:ascii="Arial" w:hAnsi="Arial" w:cs="Arial"/>
          <w:color w:val="000000" w:themeColor="text1"/>
        </w:rPr>
        <w:lastRenderedPageBreak/>
        <w:t>75,9% corresponde a otro corte, cohorte o denominador, y dejar como observación técnica que, con los datos absolutos actualmente reportados, la cobertura estimada sería de 3,3%. Esta depuración es necesaria para evitar interpretaciones erróneas y garantizar que las decisiones de seguimiento a Capital Salud EPS-S se fundamenten en información consistente, verificable y trazable.</w:t>
      </w:r>
    </w:p>
    <w:p w14:paraId="57E4A7A1" w14:textId="77777777" w:rsidR="00F04631" w:rsidRPr="00242DFB" w:rsidRDefault="00F04631" w:rsidP="002A0E52">
      <w:pPr>
        <w:shd w:val="clear" w:color="auto" w:fill="FFFFFF" w:themeFill="background1"/>
        <w:spacing w:line="360" w:lineRule="auto"/>
        <w:jc w:val="both"/>
        <w:rPr>
          <w:rFonts w:ascii="Arial" w:hAnsi="Arial" w:cs="Arial"/>
          <w:color w:val="000000" w:themeColor="text1"/>
        </w:rPr>
      </w:pPr>
    </w:p>
    <w:p w14:paraId="5A1545C8" w14:textId="4F6E3084" w:rsidR="009F762E" w:rsidRPr="00242DFB" w:rsidRDefault="00000000" w:rsidP="00F04631">
      <w:pPr>
        <w:pStyle w:val="Ttulo3"/>
        <w:numPr>
          <w:ilvl w:val="2"/>
          <w:numId w:val="12"/>
        </w:numPr>
        <w:jc w:val="both"/>
        <w:rPr>
          <w:rFonts w:ascii="Arial" w:hAnsi="Arial" w:cs="Arial"/>
          <w:b/>
          <w:bCs/>
          <w:color w:val="000000" w:themeColor="text1"/>
        </w:rPr>
      </w:pPr>
      <w:r w:rsidRPr="00242DFB">
        <w:rPr>
          <w:rFonts w:ascii="Arial" w:hAnsi="Arial" w:cs="Arial"/>
          <w:b/>
          <w:bCs/>
          <w:color w:val="000000" w:themeColor="text1"/>
        </w:rPr>
        <w:t>Vacunación contra Sarampión-Rubéola</w:t>
      </w:r>
    </w:p>
    <w:p w14:paraId="6A09FB8A" w14:textId="77777777" w:rsidR="00F04631" w:rsidRPr="00242DFB" w:rsidRDefault="00F04631" w:rsidP="002A0E52">
      <w:pPr>
        <w:shd w:val="clear" w:color="auto" w:fill="FFFFFF" w:themeFill="background1"/>
        <w:spacing w:line="360" w:lineRule="auto"/>
        <w:jc w:val="both"/>
        <w:rPr>
          <w:rFonts w:ascii="Arial" w:eastAsia="Aptos" w:hAnsi="Arial" w:cs="Arial"/>
          <w:color w:val="000000"/>
        </w:rPr>
      </w:pPr>
    </w:p>
    <w:p w14:paraId="573F76A1" w14:textId="77777777" w:rsidR="00F04631" w:rsidRPr="00242DFB" w:rsidRDefault="00F04631" w:rsidP="00F04631">
      <w:pPr>
        <w:shd w:val="clear" w:color="auto" w:fill="FFFFFF" w:themeFill="background1"/>
        <w:spacing w:line="360" w:lineRule="auto"/>
        <w:jc w:val="both"/>
        <w:rPr>
          <w:rFonts w:ascii="Arial" w:eastAsia="Aptos" w:hAnsi="Arial" w:cs="Arial"/>
          <w:color w:val="000000" w:themeColor="text1"/>
        </w:rPr>
      </w:pPr>
      <w:r w:rsidRPr="00F04631">
        <w:rPr>
          <w:rFonts w:ascii="Arial" w:eastAsia="Aptos" w:hAnsi="Arial" w:cs="Arial"/>
          <w:color w:val="000000" w:themeColor="text1"/>
        </w:rPr>
        <w:t xml:space="preserve">Para la estrategia de </w:t>
      </w:r>
      <w:r w:rsidRPr="00F04631">
        <w:rPr>
          <w:rFonts w:ascii="Arial" w:eastAsia="Aptos" w:hAnsi="Arial" w:cs="Arial"/>
          <w:b/>
          <w:bCs/>
          <w:color w:val="000000" w:themeColor="text1"/>
        </w:rPr>
        <w:t>sarampión-rubéola</w:t>
      </w:r>
      <w:r w:rsidRPr="00F04631">
        <w:rPr>
          <w:rFonts w:ascii="Arial" w:eastAsia="Aptos" w:hAnsi="Arial" w:cs="Arial"/>
          <w:color w:val="000000" w:themeColor="text1"/>
        </w:rPr>
        <w:t xml:space="preserve">, la cobertura alcanzada por Capital Salud EPS-S durante la vigencia 2025 fue de </w:t>
      </w:r>
      <w:r w:rsidRPr="00F04631">
        <w:rPr>
          <w:rFonts w:ascii="Arial" w:eastAsia="Aptos" w:hAnsi="Arial" w:cs="Arial"/>
          <w:b/>
          <w:bCs/>
          <w:color w:val="000000" w:themeColor="text1"/>
        </w:rPr>
        <w:t>73,2%</w:t>
      </w:r>
      <w:r w:rsidRPr="00F04631">
        <w:rPr>
          <w:rFonts w:ascii="Arial" w:eastAsia="Aptos" w:hAnsi="Arial" w:cs="Arial"/>
          <w:color w:val="000000" w:themeColor="text1"/>
        </w:rPr>
        <w:t xml:space="preserve">, correspondiente a </w:t>
      </w:r>
      <w:r w:rsidRPr="00F04631">
        <w:rPr>
          <w:rFonts w:ascii="Arial" w:eastAsia="Aptos" w:hAnsi="Arial" w:cs="Arial"/>
          <w:b/>
          <w:bCs/>
          <w:color w:val="000000" w:themeColor="text1"/>
        </w:rPr>
        <w:t>89.607 personas vacunadas</w:t>
      </w:r>
      <w:r w:rsidRPr="00F04631">
        <w:rPr>
          <w:rFonts w:ascii="Arial" w:eastAsia="Aptos" w:hAnsi="Arial" w:cs="Arial"/>
          <w:color w:val="000000" w:themeColor="text1"/>
        </w:rPr>
        <w:t xml:space="preserve"> frente a una </w:t>
      </w:r>
      <w:r w:rsidRPr="00F04631">
        <w:rPr>
          <w:rFonts w:ascii="Arial" w:eastAsia="Aptos" w:hAnsi="Arial" w:cs="Arial"/>
          <w:b/>
          <w:bCs/>
          <w:color w:val="000000" w:themeColor="text1"/>
        </w:rPr>
        <w:t>meta de 122.446 personas</w:t>
      </w:r>
      <w:r w:rsidRPr="00F04631">
        <w:rPr>
          <w:rFonts w:ascii="Arial" w:eastAsia="Aptos" w:hAnsi="Arial" w:cs="Arial"/>
          <w:color w:val="000000" w:themeColor="text1"/>
        </w:rPr>
        <w:t xml:space="preserve">. Este resultado deja un total de </w:t>
      </w:r>
      <w:r w:rsidRPr="00F04631">
        <w:rPr>
          <w:rFonts w:ascii="Arial" w:eastAsia="Aptos" w:hAnsi="Arial" w:cs="Arial"/>
          <w:b/>
          <w:bCs/>
          <w:color w:val="000000" w:themeColor="text1"/>
        </w:rPr>
        <w:t>32.839 susceptibles pendientes por vacunar</w:t>
      </w:r>
      <w:r w:rsidRPr="00F04631">
        <w:rPr>
          <w:rFonts w:ascii="Arial" w:eastAsia="Aptos" w:hAnsi="Arial" w:cs="Arial"/>
          <w:color w:val="000000" w:themeColor="text1"/>
        </w:rPr>
        <w:t xml:space="preserve">, lo que representa una brecha relevante frente a la meta mínima esperada del </w:t>
      </w:r>
      <w:r w:rsidRPr="00F04631">
        <w:rPr>
          <w:rFonts w:ascii="Arial" w:eastAsia="Aptos" w:hAnsi="Arial" w:cs="Arial"/>
          <w:b/>
          <w:bCs/>
          <w:color w:val="000000" w:themeColor="text1"/>
        </w:rPr>
        <w:t>95%</w:t>
      </w:r>
      <w:r w:rsidRPr="00F04631">
        <w:rPr>
          <w:rFonts w:ascii="Arial" w:eastAsia="Aptos" w:hAnsi="Arial" w:cs="Arial"/>
          <w:color w:val="000000" w:themeColor="text1"/>
        </w:rPr>
        <w:t xml:space="preserve"> para el Programa Ampliado de Inmunizaciones —PAI—.</w:t>
      </w:r>
    </w:p>
    <w:p w14:paraId="2BA18770" w14:textId="77777777" w:rsidR="00F04631" w:rsidRPr="00F04631" w:rsidRDefault="00F04631" w:rsidP="00F04631">
      <w:pPr>
        <w:shd w:val="clear" w:color="auto" w:fill="FFFFFF" w:themeFill="background1"/>
        <w:spacing w:line="360" w:lineRule="auto"/>
        <w:jc w:val="both"/>
        <w:rPr>
          <w:rFonts w:ascii="Arial" w:eastAsia="Aptos" w:hAnsi="Arial" w:cs="Arial"/>
          <w:color w:val="000000" w:themeColor="text1"/>
        </w:rPr>
      </w:pPr>
    </w:p>
    <w:p w14:paraId="38B6F39A" w14:textId="77777777" w:rsidR="00F04631" w:rsidRPr="00242DFB" w:rsidRDefault="00F04631" w:rsidP="00F04631">
      <w:pPr>
        <w:shd w:val="clear" w:color="auto" w:fill="FFFFFF" w:themeFill="background1"/>
        <w:spacing w:line="360" w:lineRule="auto"/>
        <w:jc w:val="both"/>
        <w:rPr>
          <w:rFonts w:ascii="Arial" w:eastAsia="Aptos" w:hAnsi="Arial" w:cs="Arial"/>
          <w:color w:val="000000" w:themeColor="text1"/>
        </w:rPr>
      </w:pPr>
      <w:r w:rsidRPr="00F04631">
        <w:rPr>
          <w:rFonts w:ascii="Arial" w:eastAsia="Aptos" w:hAnsi="Arial" w:cs="Arial"/>
          <w:color w:val="000000" w:themeColor="text1"/>
        </w:rPr>
        <w:t>El resultado evidencia un cumplimiento parcial de la estrategia, pero insuficiente para garantizar niveles adecuados de protección colectiva en la población afiliada. La permanencia de más de treinta mil personas susceptibles constituye una alerta en salud pública, dado que el sarampión es una enfermedad altamente transmisible y requiere coberturas sostenidas y elevadas para reducir el riesgo de reintroducción, transmisión secundaria y aparición de brotes en población no vacunada o con esquemas incompletos.</w:t>
      </w:r>
    </w:p>
    <w:p w14:paraId="5F471648" w14:textId="77777777" w:rsidR="00F04631" w:rsidRPr="00F04631" w:rsidRDefault="00F04631" w:rsidP="00F04631">
      <w:pPr>
        <w:shd w:val="clear" w:color="auto" w:fill="FFFFFF" w:themeFill="background1"/>
        <w:spacing w:line="360" w:lineRule="auto"/>
        <w:jc w:val="both"/>
        <w:rPr>
          <w:rFonts w:ascii="Arial" w:eastAsia="Aptos" w:hAnsi="Arial" w:cs="Arial"/>
          <w:color w:val="000000" w:themeColor="text1"/>
        </w:rPr>
      </w:pPr>
    </w:p>
    <w:p w14:paraId="5DAC311D" w14:textId="77777777" w:rsidR="00F04631" w:rsidRPr="00242DFB" w:rsidRDefault="00F04631" w:rsidP="00F04631">
      <w:pPr>
        <w:shd w:val="clear" w:color="auto" w:fill="FFFFFF" w:themeFill="background1"/>
        <w:spacing w:line="360" w:lineRule="auto"/>
        <w:jc w:val="both"/>
        <w:rPr>
          <w:rFonts w:ascii="Arial" w:eastAsia="Aptos" w:hAnsi="Arial" w:cs="Arial"/>
          <w:color w:val="000000" w:themeColor="text1"/>
        </w:rPr>
      </w:pPr>
      <w:r w:rsidRPr="00F04631">
        <w:rPr>
          <w:rFonts w:ascii="Arial" w:eastAsia="Aptos" w:hAnsi="Arial" w:cs="Arial"/>
          <w:color w:val="000000" w:themeColor="text1"/>
        </w:rPr>
        <w:t>En este sentido, la EAPB Capital Salud presenta incumplimiento en las metas de cobertura establecidas para el Programa Ampliado de Inmunizaciones durante la vigencia 2025. Las mayores brechas se evidencian en el refuerzo de DPT para niños de cinco años, la vacunación contra VPH, y las estrategias de captación para fiebre amarilla y sarampión-rubéola. Estos resultados sugieren debilidades en la identificación nominal de población susceptible, búsqueda activa, demanda inducida, seguimiento de esquemas incompletos, articulación con IPS vacunadoras y cierre efectivo de cohortes priorizadas.</w:t>
      </w:r>
    </w:p>
    <w:p w14:paraId="7D502D7F" w14:textId="77777777" w:rsidR="00F04631" w:rsidRPr="00F04631" w:rsidRDefault="00F04631" w:rsidP="00F04631">
      <w:pPr>
        <w:shd w:val="clear" w:color="auto" w:fill="FFFFFF" w:themeFill="background1"/>
        <w:spacing w:line="360" w:lineRule="auto"/>
        <w:jc w:val="both"/>
        <w:rPr>
          <w:rFonts w:ascii="Arial" w:eastAsia="Aptos" w:hAnsi="Arial" w:cs="Arial"/>
          <w:color w:val="000000" w:themeColor="text1"/>
        </w:rPr>
      </w:pPr>
    </w:p>
    <w:p w14:paraId="31E4FB08" w14:textId="77777777" w:rsidR="00F04631" w:rsidRPr="00242DFB" w:rsidRDefault="00F04631" w:rsidP="00F04631">
      <w:pPr>
        <w:shd w:val="clear" w:color="auto" w:fill="FFFFFF" w:themeFill="background1"/>
        <w:spacing w:line="360" w:lineRule="auto"/>
        <w:jc w:val="both"/>
        <w:rPr>
          <w:rFonts w:ascii="Arial" w:eastAsia="Aptos" w:hAnsi="Arial" w:cs="Arial"/>
          <w:color w:val="000000" w:themeColor="text1"/>
        </w:rPr>
      </w:pPr>
      <w:r w:rsidRPr="00F04631">
        <w:rPr>
          <w:rFonts w:ascii="Arial" w:eastAsia="Aptos" w:hAnsi="Arial" w:cs="Arial"/>
          <w:color w:val="000000" w:themeColor="text1"/>
        </w:rPr>
        <w:t xml:space="preserve">Aunque se observan avances en algunos componentes del programa, las coberturas alcanzadas continúan por debajo de la meta mínima esperada del </w:t>
      </w:r>
      <w:r w:rsidRPr="00F04631">
        <w:rPr>
          <w:rFonts w:ascii="Arial" w:eastAsia="Aptos" w:hAnsi="Arial" w:cs="Arial"/>
          <w:b/>
          <w:bCs/>
          <w:color w:val="000000" w:themeColor="text1"/>
        </w:rPr>
        <w:t>95%</w:t>
      </w:r>
      <w:r w:rsidRPr="00F04631">
        <w:rPr>
          <w:rFonts w:ascii="Arial" w:eastAsia="Aptos" w:hAnsi="Arial" w:cs="Arial"/>
          <w:color w:val="000000" w:themeColor="text1"/>
        </w:rPr>
        <w:t>, lo que incrementa el riesgo de acumulación de susceptibles y de aparición de enfermedades inmunoprevenibles en la población afiliada. Esta situación requiere un abordaje operativo inmediato por parte de la EPS, orientado a depurar bases nominales, identificar población pendiente, activar estrategias extramurales e institucionales, fortalecer la comunicación con familias y cuidadores, y realizar seguimiento periódico por localidad, edad, IPS asignada y estado de vacunación.</w:t>
      </w:r>
    </w:p>
    <w:p w14:paraId="542B13D5" w14:textId="77777777" w:rsidR="00F97D77" w:rsidRPr="00F04631" w:rsidRDefault="00F97D77" w:rsidP="00F04631">
      <w:pPr>
        <w:shd w:val="clear" w:color="auto" w:fill="FFFFFF" w:themeFill="background1"/>
        <w:spacing w:line="360" w:lineRule="auto"/>
        <w:jc w:val="both"/>
        <w:rPr>
          <w:rFonts w:ascii="Arial" w:eastAsia="Aptos" w:hAnsi="Arial" w:cs="Arial"/>
          <w:color w:val="000000" w:themeColor="text1"/>
        </w:rPr>
      </w:pPr>
    </w:p>
    <w:p w14:paraId="387F1F0C" w14:textId="77777777" w:rsidR="00F04631" w:rsidRPr="00F04631" w:rsidRDefault="00F04631" w:rsidP="00F04631">
      <w:pPr>
        <w:shd w:val="clear" w:color="auto" w:fill="FFFFFF" w:themeFill="background1"/>
        <w:spacing w:line="360" w:lineRule="auto"/>
        <w:jc w:val="both"/>
        <w:rPr>
          <w:rFonts w:ascii="Arial" w:eastAsia="Aptos" w:hAnsi="Arial" w:cs="Arial"/>
          <w:color w:val="000000" w:themeColor="text1"/>
        </w:rPr>
      </w:pPr>
      <w:r w:rsidRPr="00F04631">
        <w:rPr>
          <w:rFonts w:ascii="Arial" w:eastAsia="Aptos" w:hAnsi="Arial" w:cs="Arial"/>
          <w:color w:val="000000" w:themeColor="text1"/>
        </w:rPr>
        <w:t xml:space="preserve">En conclusión, la cobertura de </w:t>
      </w:r>
      <w:r w:rsidRPr="00F04631">
        <w:rPr>
          <w:rFonts w:ascii="Arial" w:eastAsia="Aptos" w:hAnsi="Arial" w:cs="Arial"/>
          <w:b/>
          <w:bCs/>
          <w:color w:val="000000" w:themeColor="text1"/>
        </w:rPr>
        <w:t>73,2% en sarampión-rubéola</w:t>
      </w:r>
      <w:r w:rsidRPr="00F04631">
        <w:rPr>
          <w:rFonts w:ascii="Arial" w:eastAsia="Aptos" w:hAnsi="Arial" w:cs="Arial"/>
          <w:color w:val="000000" w:themeColor="text1"/>
        </w:rPr>
        <w:t xml:space="preserve"> refleja una brecha significativa frente al estándar esperado del PAI y debe ser priorizada dentro del plan de mejoramiento de Capital Salud EPS-S. La intervención debe enfocarse en reducir el número de susceptibles pendientes, garantizar el cierre de esquemas y fortalecer la vigilancia de coberturas, con el fin de disminuir el riesgo de eventos inmunoprevenibles y proteger de manera efectiva a la población afiliada.</w:t>
      </w:r>
    </w:p>
    <w:p w14:paraId="0977FC62" w14:textId="77777777" w:rsidR="009F762E" w:rsidRPr="00242DFB" w:rsidRDefault="009F762E" w:rsidP="002A0E52">
      <w:pPr>
        <w:shd w:val="clear" w:color="auto" w:fill="FFFFFF" w:themeFill="background1"/>
        <w:spacing w:line="360" w:lineRule="auto"/>
        <w:jc w:val="both"/>
        <w:rPr>
          <w:rFonts w:ascii="Arial" w:eastAsia="Aptos" w:hAnsi="Arial" w:cs="Arial"/>
          <w:color w:val="000000" w:themeColor="text1"/>
        </w:rPr>
      </w:pPr>
    </w:p>
    <w:p w14:paraId="5B19E137" w14:textId="40D49063" w:rsidR="009F762E" w:rsidRPr="00242DFB" w:rsidRDefault="00000000" w:rsidP="00D55ABD">
      <w:pPr>
        <w:pStyle w:val="Ttulo1"/>
        <w:numPr>
          <w:ilvl w:val="0"/>
          <w:numId w:val="7"/>
        </w:numPr>
        <w:spacing w:before="0" w:line="360" w:lineRule="auto"/>
        <w:jc w:val="both"/>
        <w:rPr>
          <w:rFonts w:ascii="Arial" w:eastAsia="Arial" w:hAnsi="Arial" w:cs="Arial"/>
          <w:b/>
          <w:color w:val="000000" w:themeColor="text1"/>
          <w:sz w:val="24"/>
          <w:szCs w:val="24"/>
        </w:rPr>
      </w:pPr>
      <w:bookmarkStart w:id="36" w:name="__RefHeading___Toc8598_542869190"/>
      <w:bookmarkStart w:id="37" w:name="_Toc230853774"/>
      <w:bookmarkEnd w:id="36"/>
      <w:r w:rsidRPr="00242DFB">
        <w:rPr>
          <w:rFonts w:ascii="Arial" w:eastAsia="Arial" w:hAnsi="Arial" w:cs="Arial"/>
          <w:b/>
          <w:color w:val="000000"/>
          <w:sz w:val="24"/>
          <w:szCs w:val="24"/>
        </w:rPr>
        <w:t>RED PRESTADORA Y CAPACIDAD INSTALADA</w:t>
      </w:r>
      <w:bookmarkEnd w:id="37"/>
    </w:p>
    <w:p w14:paraId="0AE1DBDE" w14:textId="77777777" w:rsidR="009F762E" w:rsidRPr="00242DFB" w:rsidRDefault="009F762E" w:rsidP="002A0E52">
      <w:pPr>
        <w:spacing w:line="360" w:lineRule="auto"/>
        <w:jc w:val="both"/>
        <w:rPr>
          <w:rFonts w:ascii="Arial" w:eastAsia="Arial" w:hAnsi="Arial" w:cs="Arial"/>
          <w:color w:val="000000" w:themeColor="text1"/>
        </w:rPr>
      </w:pPr>
    </w:p>
    <w:p w14:paraId="15BC81CF" w14:textId="530D2152" w:rsidR="009F762E" w:rsidRPr="00242DFB" w:rsidRDefault="00000000" w:rsidP="00D55ABD">
      <w:pPr>
        <w:pStyle w:val="Ttulo2"/>
        <w:numPr>
          <w:ilvl w:val="1"/>
          <w:numId w:val="7"/>
        </w:numPr>
        <w:spacing w:before="0" w:line="360" w:lineRule="auto"/>
        <w:jc w:val="both"/>
        <w:rPr>
          <w:rFonts w:ascii="Arial" w:eastAsia="Arial" w:hAnsi="Arial" w:cs="Arial"/>
          <w:b/>
          <w:bCs/>
          <w:color w:val="000000" w:themeColor="text1"/>
          <w:sz w:val="24"/>
          <w:szCs w:val="24"/>
        </w:rPr>
      </w:pPr>
      <w:bookmarkStart w:id="38" w:name="__RefHeading___Toc8600_542869190"/>
      <w:bookmarkEnd w:id="38"/>
      <w:r w:rsidRPr="00242DFB">
        <w:rPr>
          <w:rFonts w:ascii="Arial" w:hAnsi="Arial" w:cs="Arial"/>
          <w:b/>
          <w:bCs/>
          <w:color w:val="000000"/>
          <w:sz w:val="24"/>
          <w:szCs w:val="24"/>
        </w:rPr>
        <w:t xml:space="preserve"> Análisis Capital Salud </w:t>
      </w:r>
      <w:r w:rsidR="00FE016F" w:rsidRPr="00242DFB">
        <w:rPr>
          <w:rFonts w:ascii="Arial" w:hAnsi="Arial" w:cs="Arial"/>
          <w:b/>
          <w:bCs/>
          <w:color w:val="000000"/>
          <w:sz w:val="24"/>
          <w:szCs w:val="24"/>
        </w:rPr>
        <w:t>Vs</w:t>
      </w:r>
      <w:r w:rsidRPr="00242DFB">
        <w:rPr>
          <w:rFonts w:ascii="Arial" w:hAnsi="Arial" w:cs="Arial"/>
          <w:b/>
          <w:bCs/>
          <w:color w:val="000000"/>
          <w:sz w:val="24"/>
          <w:szCs w:val="24"/>
        </w:rPr>
        <w:t>. Grupo de atención y monitoreo en salud – GAMA</w:t>
      </w:r>
      <w:r w:rsidR="00FE016F" w:rsidRPr="00242DFB">
        <w:rPr>
          <w:rStyle w:val="Refdenotaalpie"/>
          <w:rFonts w:ascii="Arial" w:hAnsi="Arial" w:cs="Arial"/>
          <w:b/>
          <w:bCs/>
          <w:color w:val="000000"/>
          <w:sz w:val="24"/>
          <w:szCs w:val="24"/>
        </w:rPr>
        <w:footnoteReference w:id="6"/>
      </w:r>
      <w:r w:rsidR="00FE016F" w:rsidRPr="00242DFB">
        <w:rPr>
          <w:rFonts w:ascii="Arial" w:hAnsi="Arial" w:cs="Arial"/>
          <w:b/>
          <w:bCs/>
          <w:color w:val="000000"/>
          <w:sz w:val="24"/>
          <w:szCs w:val="24"/>
        </w:rPr>
        <w:t xml:space="preserve"> </w:t>
      </w:r>
      <w:r w:rsidRPr="00242DFB">
        <w:rPr>
          <w:rFonts w:ascii="Arial" w:hAnsi="Arial" w:cs="Arial"/>
          <w:b/>
          <w:bCs/>
          <w:color w:val="000000"/>
          <w:sz w:val="24"/>
          <w:szCs w:val="24"/>
        </w:rPr>
        <w:t xml:space="preserve">Secretaría Distrital de Salud – Red Prestadora </w:t>
      </w:r>
    </w:p>
    <w:p w14:paraId="7BCC917A" w14:textId="77777777" w:rsidR="009F762E" w:rsidRPr="00242DFB" w:rsidRDefault="009F762E" w:rsidP="002A0E52">
      <w:pPr>
        <w:spacing w:line="360" w:lineRule="auto"/>
        <w:jc w:val="both"/>
        <w:rPr>
          <w:rFonts w:ascii="Arial" w:eastAsiaTheme="minorEastAsia" w:hAnsi="Arial" w:cs="Arial"/>
          <w:color w:val="000000" w:themeColor="text1"/>
        </w:rPr>
      </w:pPr>
    </w:p>
    <w:p w14:paraId="71F5E6C2"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De acuerdo con los resultados del seguimiento por el Grupo de Atención y Monitoreo en Salud - GAMA de la Subdirección de Garantía del Aseguramiento, se validaron </w:t>
      </w:r>
      <w:r w:rsidRPr="00242DFB">
        <w:rPr>
          <w:rFonts w:ascii="Arial" w:eastAsia="Arial" w:hAnsi="Arial" w:cs="Arial"/>
          <w:color w:val="000000"/>
        </w:rPr>
        <w:lastRenderedPageBreak/>
        <w:t>los casos reportados por las áreas de referencias de las IPS con inoportunidad en el trámite de referencia mayor a 24 horas. De un total de 8.955 casos detectados con problemás de traslados, interconsultas y remisiones 1.079 (12%) corresponden a usuarios afiliados a Capital Salud EPS.</w:t>
      </w:r>
    </w:p>
    <w:p w14:paraId="57068470" w14:textId="66AFC0F1" w:rsidR="009F762E" w:rsidRPr="00242DFB" w:rsidRDefault="009F762E" w:rsidP="002A0E52">
      <w:pPr>
        <w:spacing w:line="360" w:lineRule="auto"/>
        <w:jc w:val="center"/>
        <w:rPr>
          <w:rFonts w:ascii="Arial" w:eastAsia="Arial" w:hAnsi="Arial" w:cs="Arial"/>
          <w:color w:val="000000" w:themeColor="text1"/>
        </w:rPr>
      </w:pPr>
    </w:p>
    <w:p w14:paraId="175D0730" w14:textId="0734667F" w:rsidR="00173427" w:rsidRPr="00242DFB" w:rsidRDefault="00173427" w:rsidP="00173427">
      <w:pPr>
        <w:pStyle w:val="Descripcin"/>
        <w:keepNext/>
        <w:jc w:val="center"/>
        <w:rPr>
          <w:rFonts w:ascii="Arial" w:hAnsi="Arial" w:cs="Arial"/>
          <w:color w:val="000000" w:themeColor="text1"/>
          <w:sz w:val="24"/>
          <w:szCs w:val="24"/>
        </w:rPr>
      </w:pPr>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15</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Distribución porcentual de casos con inoportunidad en procesos de referencia por asegurador e IPS objeto de seguimiento</w:t>
      </w:r>
    </w:p>
    <w:tbl>
      <w:tblPr>
        <w:tblStyle w:val="Tablaconcuadrcula"/>
        <w:tblW w:w="6509" w:type="dxa"/>
        <w:jc w:val="center"/>
        <w:tblLayout w:type="fixed"/>
        <w:tblLook w:val="04A0" w:firstRow="1" w:lastRow="0" w:firstColumn="1" w:lastColumn="0" w:noHBand="0" w:noVBand="1"/>
      </w:tblPr>
      <w:tblGrid>
        <w:gridCol w:w="661"/>
        <w:gridCol w:w="2714"/>
        <w:gridCol w:w="1305"/>
        <w:gridCol w:w="1829"/>
      </w:tblGrid>
      <w:tr w:rsidR="009F762E" w:rsidRPr="00242DFB" w14:paraId="47002BA8" w14:textId="77777777" w:rsidTr="00173427">
        <w:trPr>
          <w:cantSplit/>
          <w:trHeight w:val="315"/>
          <w:jc w:val="center"/>
        </w:trPr>
        <w:tc>
          <w:tcPr>
            <w:tcW w:w="661" w:type="dxa"/>
          </w:tcPr>
          <w:p w14:paraId="3013B2ED" w14:textId="77777777" w:rsidR="009F762E" w:rsidRPr="00242DFB" w:rsidRDefault="00000000" w:rsidP="002A0E52">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No.</w:t>
            </w:r>
          </w:p>
        </w:tc>
        <w:tc>
          <w:tcPr>
            <w:tcW w:w="2714" w:type="dxa"/>
          </w:tcPr>
          <w:p w14:paraId="7EC40529" w14:textId="77777777" w:rsidR="009F762E" w:rsidRPr="00242DFB" w:rsidRDefault="00000000" w:rsidP="002A0E52">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EAPB</w:t>
            </w:r>
          </w:p>
        </w:tc>
        <w:tc>
          <w:tcPr>
            <w:tcW w:w="1305" w:type="dxa"/>
          </w:tcPr>
          <w:p w14:paraId="4106F8A5" w14:textId="77777777" w:rsidR="009F762E" w:rsidRPr="00242DFB" w:rsidRDefault="00000000" w:rsidP="002A0E52">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 xml:space="preserve">No. </w:t>
            </w:r>
            <w:r w:rsidRPr="00242DFB">
              <w:rPr>
                <w:rFonts w:ascii="Arial" w:eastAsia="Arial" w:hAnsi="Arial" w:cs="Arial"/>
                <w:b/>
                <w:bCs/>
                <w:color w:val="000000" w:themeColor="text1"/>
                <w:kern w:val="2"/>
              </w:rPr>
              <w:t>de Casos</w:t>
            </w:r>
          </w:p>
        </w:tc>
        <w:tc>
          <w:tcPr>
            <w:tcW w:w="1829" w:type="dxa"/>
          </w:tcPr>
          <w:p w14:paraId="437DAA6F" w14:textId="77777777" w:rsidR="009F762E" w:rsidRPr="00242DFB" w:rsidRDefault="00000000" w:rsidP="002A0E52">
            <w:pPr>
              <w:spacing w:line="360" w:lineRule="auto"/>
              <w:jc w:val="center"/>
              <w:rPr>
                <w:rFonts w:ascii="Arial" w:eastAsia="Arial" w:hAnsi="Arial" w:cs="Arial"/>
                <w:b/>
                <w:color w:val="000000" w:themeColor="text1"/>
              </w:rPr>
            </w:pPr>
            <w:r w:rsidRPr="00242DFB">
              <w:rPr>
                <w:rFonts w:ascii="Arial" w:eastAsia="Arial" w:hAnsi="Arial" w:cs="Arial"/>
                <w:b/>
                <w:bCs/>
                <w:color w:val="000000" w:themeColor="text1"/>
                <w:kern w:val="2"/>
              </w:rPr>
              <w:t>Porcentaje participación</w:t>
            </w:r>
          </w:p>
        </w:tc>
      </w:tr>
      <w:tr w:rsidR="009F762E" w:rsidRPr="00242DFB" w14:paraId="32AA9FEE" w14:textId="77777777" w:rsidTr="00173427">
        <w:trPr>
          <w:cantSplit/>
          <w:trHeight w:val="315"/>
          <w:jc w:val="center"/>
        </w:trPr>
        <w:tc>
          <w:tcPr>
            <w:tcW w:w="661" w:type="dxa"/>
          </w:tcPr>
          <w:p w14:paraId="6C97A2DF"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w:t>
            </w:r>
          </w:p>
        </w:tc>
        <w:tc>
          <w:tcPr>
            <w:tcW w:w="2714" w:type="dxa"/>
          </w:tcPr>
          <w:p w14:paraId="105032DC"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Nueva EPS</w:t>
            </w:r>
          </w:p>
        </w:tc>
        <w:tc>
          <w:tcPr>
            <w:tcW w:w="1305" w:type="dxa"/>
          </w:tcPr>
          <w:p w14:paraId="6FBBE07C"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2.413</w:t>
            </w:r>
          </w:p>
        </w:tc>
        <w:tc>
          <w:tcPr>
            <w:tcW w:w="1829" w:type="dxa"/>
          </w:tcPr>
          <w:p w14:paraId="159FE897"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26,9%</w:t>
            </w:r>
          </w:p>
        </w:tc>
      </w:tr>
      <w:tr w:rsidR="009F762E" w:rsidRPr="00242DFB" w14:paraId="7A0FA734" w14:textId="77777777" w:rsidTr="00173427">
        <w:trPr>
          <w:cantSplit/>
          <w:trHeight w:val="315"/>
          <w:jc w:val="center"/>
        </w:trPr>
        <w:tc>
          <w:tcPr>
            <w:tcW w:w="661" w:type="dxa"/>
          </w:tcPr>
          <w:p w14:paraId="56C63458"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w:t>
            </w:r>
          </w:p>
        </w:tc>
        <w:tc>
          <w:tcPr>
            <w:tcW w:w="2714" w:type="dxa"/>
          </w:tcPr>
          <w:p w14:paraId="0CD2E75E"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Famisanar EPS</w:t>
            </w:r>
          </w:p>
        </w:tc>
        <w:tc>
          <w:tcPr>
            <w:tcW w:w="1305" w:type="dxa"/>
          </w:tcPr>
          <w:p w14:paraId="1202BAFF"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1.765</w:t>
            </w:r>
          </w:p>
        </w:tc>
        <w:tc>
          <w:tcPr>
            <w:tcW w:w="1829" w:type="dxa"/>
          </w:tcPr>
          <w:p w14:paraId="0DCC84CF"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19,7%</w:t>
            </w:r>
          </w:p>
        </w:tc>
      </w:tr>
      <w:tr w:rsidR="009F762E" w:rsidRPr="00242DFB" w14:paraId="09673034" w14:textId="77777777" w:rsidTr="00173427">
        <w:trPr>
          <w:cantSplit/>
          <w:trHeight w:val="315"/>
          <w:jc w:val="center"/>
        </w:trPr>
        <w:tc>
          <w:tcPr>
            <w:tcW w:w="661" w:type="dxa"/>
          </w:tcPr>
          <w:p w14:paraId="458E63F6"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3</w:t>
            </w:r>
          </w:p>
        </w:tc>
        <w:tc>
          <w:tcPr>
            <w:tcW w:w="2714" w:type="dxa"/>
          </w:tcPr>
          <w:p w14:paraId="029DA7C4"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Compensar EPS</w:t>
            </w:r>
          </w:p>
        </w:tc>
        <w:tc>
          <w:tcPr>
            <w:tcW w:w="1305" w:type="dxa"/>
          </w:tcPr>
          <w:p w14:paraId="7539C40B"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1.109</w:t>
            </w:r>
          </w:p>
        </w:tc>
        <w:tc>
          <w:tcPr>
            <w:tcW w:w="1829" w:type="dxa"/>
          </w:tcPr>
          <w:p w14:paraId="4422E2E4"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12,4%</w:t>
            </w:r>
          </w:p>
        </w:tc>
      </w:tr>
      <w:tr w:rsidR="009F762E" w:rsidRPr="00242DFB" w14:paraId="3D0C156C" w14:textId="77777777" w:rsidTr="00173427">
        <w:trPr>
          <w:cantSplit/>
          <w:trHeight w:val="315"/>
          <w:jc w:val="center"/>
        </w:trPr>
        <w:tc>
          <w:tcPr>
            <w:tcW w:w="661" w:type="dxa"/>
          </w:tcPr>
          <w:p w14:paraId="56B0F988" w14:textId="77777777" w:rsidR="009F762E" w:rsidRPr="00242DFB" w:rsidRDefault="00000000" w:rsidP="002A0E52">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4</w:t>
            </w:r>
          </w:p>
        </w:tc>
        <w:tc>
          <w:tcPr>
            <w:tcW w:w="2714" w:type="dxa"/>
          </w:tcPr>
          <w:p w14:paraId="5E61AA8D" w14:textId="77777777" w:rsidR="009F762E" w:rsidRPr="00242DFB" w:rsidRDefault="00000000" w:rsidP="002A0E52">
            <w:pPr>
              <w:spacing w:line="360" w:lineRule="auto"/>
              <w:rPr>
                <w:rFonts w:ascii="Arial" w:eastAsia="Arial" w:hAnsi="Arial" w:cs="Arial"/>
                <w:b/>
                <w:color w:val="000000" w:themeColor="text1"/>
              </w:rPr>
            </w:pPr>
            <w:r w:rsidRPr="00242DFB">
              <w:rPr>
                <w:rFonts w:ascii="Arial" w:eastAsia="Arial" w:hAnsi="Arial" w:cs="Arial"/>
                <w:b/>
                <w:bCs/>
                <w:color w:val="000000" w:themeColor="text1"/>
                <w:kern w:val="2"/>
              </w:rPr>
              <w:t>Capital Salud EPS</w:t>
            </w:r>
          </w:p>
        </w:tc>
        <w:tc>
          <w:tcPr>
            <w:tcW w:w="1305" w:type="dxa"/>
          </w:tcPr>
          <w:p w14:paraId="63D8BC63" w14:textId="77777777" w:rsidR="009F762E" w:rsidRPr="00242DFB" w:rsidRDefault="00000000" w:rsidP="002A0E52">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1.079</w:t>
            </w:r>
          </w:p>
        </w:tc>
        <w:tc>
          <w:tcPr>
            <w:tcW w:w="1829" w:type="dxa"/>
          </w:tcPr>
          <w:p w14:paraId="0CC001A7" w14:textId="77777777" w:rsidR="009F762E" w:rsidRPr="00242DFB" w:rsidRDefault="00000000" w:rsidP="002A0E52">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12,0%</w:t>
            </w:r>
          </w:p>
        </w:tc>
      </w:tr>
      <w:tr w:rsidR="009F762E" w:rsidRPr="00242DFB" w14:paraId="61828B69" w14:textId="77777777" w:rsidTr="00173427">
        <w:trPr>
          <w:cantSplit/>
          <w:trHeight w:val="315"/>
          <w:jc w:val="center"/>
        </w:trPr>
        <w:tc>
          <w:tcPr>
            <w:tcW w:w="661" w:type="dxa"/>
          </w:tcPr>
          <w:p w14:paraId="139E9B17"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5</w:t>
            </w:r>
          </w:p>
        </w:tc>
        <w:tc>
          <w:tcPr>
            <w:tcW w:w="2714" w:type="dxa"/>
          </w:tcPr>
          <w:p w14:paraId="46B08670"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Sanitas EPS</w:t>
            </w:r>
          </w:p>
        </w:tc>
        <w:tc>
          <w:tcPr>
            <w:tcW w:w="1305" w:type="dxa"/>
          </w:tcPr>
          <w:p w14:paraId="7D2262A8"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962</w:t>
            </w:r>
          </w:p>
        </w:tc>
        <w:tc>
          <w:tcPr>
            <w:tcW w:w="1829" w:type="dxa"/>
          </w:tcPr>
          <w:p w14:paraId="2B2FBD6B"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10,7%</w:t>
            </w:r>
          </w:p>
        </w:tc>
      </w:tr>
      <w:tr w:rsidR="009F762E" w:rsidRPr="00242DFB" w14:paraId="0BEBE8E0" w14:textId="77777777" w:rsidTr="00173427">
        <w:trPr>
          <w:cantSplit/>
          <w:trHeight w:val="315"/>
          <w:jc w:val="center"/>
        </w:trPr>
        <w:tc>
          <w:tcPr>
            <w:tcW w:w="661" w:type="dxa"/>
          </w:tcPr>
          <w:p w14:paraId="682B174E"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6</w:t>
            </w:r>
          </w:p>
        </w:tc>
        <w:tc>
          <w:tcPr>
            <w:tcW w:w="2714" w:type="dxa"/>
          </w:tcPr>
          <w:p w14:paraId="5829F535"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Salud Total EPS</w:t>
            </w:r>
          </w:p>
        </w:tc>
        <w:tc>
          <w:tcPr>
            <w:tcW w:w="1305" w:type="dxa"/>
          </w:tcPr>
          <w:p w14:paraId="5CB0E558"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415</w:t>
            </w:r>
          </w:p>
        </w:tc>
        <w:tc>
          <w:tcPr>
            <w:tcW w:w="1829" w:type="dxa"/>
          </w:tcPr>
          <w:p w14:paraId="095B3AD0"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4,6%</w:t>
            </w:r>
          </w:p>
        </w:tc>
      </w:tr>
      <w:tr w:rsidR="009F762E" w:rsidRPr="00242DFB" w14:paraId="3711D655" w14:textId="77777777" w:rsidTr="00173427">
        <w:trPr>
          <w:cantSplit/>
          <w:trHeight w:val="315"/>
          <w:jc w:val="center"/>
        </w:trPr>
        <w:tc>
          <w:tcPr>
            <w:tcW w:w="661" w:type="dxa"/>
          </w:tcPr>
          <w:p w14:paraId="74518C66"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7</w:t>
            </w:r>
          </w:p>
        </w:tc>
        <w:tc>
          <w:tcPr>
            <w:tcW w:w="2714" w:type="dxa"/>
          </w:tcPr>
          <w:p w14:paraId="778419A4"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Sura EPS</w:t>
            </w:r>
          </w:p>
        </w:tc>
        <w:tc>
          <w:tcPr>
            <w:tcW w:w="1305" w:type="dxa"/>
          </w:tcPr>
          <w:p w14:paraId="21D89AB2"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260</w:t>
            </w:r>
          </w:p>
        </w:tc>
        <w:tc>
          <w:tcPr>
            <w:tcW w:w="1829" w:type="dxa"/>
          </w:tcPr>
          <w:p w14:paraId="0DB36AB8"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2,9%</w:t>
            </w:r>
          </w:p>
        </w:tc>
      </w:tr>
      <w:tr w:rsidR="009F762E" w:rsidRPr="00242DFB" w14:paraId="445D806C" w14:textId="77777777" w:rsidTr="00173427">
        <w:trPr>
          <w:cantSplit/>
          <w:trHeight w:val="315"/>
          <w:jc w:val="center"/>
        </w:trPr>
        <w:tc>
          <w:tcPr>
            <w:tcW w:w="661" w:type="dxa"/>
          </w:tcPr>
          <w:p w14:paraId="42584B47"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8</w:t>
            </w:r>
          </w:p>
        </w:tc>
        <w:tc>
          <w:tcPr>
            <w:tcW w:w="2714" w:type="dxa"/>
          </w:tcPr>
          <w:p w14:paraId="504CB8CF"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Coosalud EPS</w:t>
            </w:r>
          </w:p>
        </w:tc>
        <w:tc>
          <w:tcPr>
            <w:tcW w:w="1305" w:type="dxa"/>
          </w:tcPr>
          <w:p w14:paraId="2A5ACB1F"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199</w:t>
            </w:r>
          </w:p>
        </w:tc>
        <w:tc>
          <w:tcPr>
            <w:tcW w:w="1829" w:type="dxa"/>
          </w:tcPr>
          <w:p w14:paraId="782F29A4"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2,2%</w:t>
            </w:r>
          </w:p>
        </w:tc>
      </w:tr>
      <w:tr w:rsidR="009F762E" w:rsidRPr="00242DFB" w14:paraId="0BEA05DC" w14:textId="77777777" w:rsidTr="00173427">
        <w:trPr>
          <w:cantSplit/>
          <w:trHeight w:val="315"/>
          <w:jc w:val="center"/>
        </w:trPr>
        <w:tc>
          <w:tcPr>
            <w:tcW w:w="661" w:type="dxa"/>
          </w:tcPr>
          <w:p w14:paraId="52149536"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9</w:t>
            </w:r>
          </w:p>
        </w:tc>
        <w:tc>
          <w:tcPr>
            <w:tcW w:w="2714" w:type="dxa"/>
          </w:tcPr>
          <w:p w14:paraId="7AAD1A9F"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FOMAG</w:t>
            </w:r>
          </w:p>
        </w:tc>
        <w:tc>
          <w:tcPr>
            <w:tcW w:w="1305" w:type="dxa"/>
          </w:tcPr>
          <w:p w14:paraId="5DE33614"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138</w:t>
            </w:r>
          </w:p>
        </w:tc>
        <w:tc>
          <w:tcPr>
            <w:tcW w:w="1829" w:type="dxa"/>
          </w:tcPr>
          <w:p w14:paraId="709E81E4"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kern w:val="2"/>
              </w:rPr>
              <w:t>1,5%</w:t>
            </w:r>
          </w:p>
        </w:tc>
      </w:tr>
      <w:tr w:rsidR="009F762E" w:rsidRPr="00242DFB" w14:paraId="1A075EDD" w14:textId="77777777" w:rsidTr="00173427">
        <w:trPr>
          <w:cantSplit/>
          <w:trHeight w:val="315"/>
          <w:jc w:val="center"/>
        </w:trPr>
        <w:tc>
          <w:tcPr>
            <w:tcW w:w="661" w:type="dxa"/>
          </w:tcPr>
          <w:p w14:paraId="2BEF907B"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10</w:t>
            </w:r>
          </w:p>
        </w:tc>
        <w:tc>
          <w:tcPr>
            <w:tcW w:w="2714" w:type="dxa"/>
          </w:tcPr>
          <w:p w14:paraId="20868412"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FFD (NO ASEGURADO)</w:t>
            </w:r>
          </w:p>
        </w:tc>
        <w:tc>
          <w:tcPr>
            <w:tcW w:w="1305" w:type="dxa"/>
          </w:tcPr>
          <w:p w14:paraId="638561A8"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92</w:t>
            </w:r>
          </w:p>
        </w:tc>
        <w:tc>
          <w:tcPr>
            <w:tcW w:w="1829" w:type="dxa"/>
          </w:tcPr>
          <w:p w14:paraId="0F004FF0"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1,0%</w:t>
            </w:r>
          </w:p>
        </w:tc>
      </w:tr>
      <w:tr w:rsidR="009F762E" w:rsidRPr="00242DFB" w14:paraId="38E6B1F7" w14:textId="77777777" w:rsidTr="00173427">
        <w:trPr>
          <w:cantSplit/>
          <w:trHeight w:val="315"/>
          <w:jc w:val="center"/>
        </w:trPr>
        <w:tc>
          <w:tcPr>
            <w:tcW w:w="661" w:type="dxa"/>
          </w:tcPr>
          <w:p w14:paraId="27CF125D" w14:textId="77777777" w:rsidR="009F762E" w:rsidRPr="00242DFB" w:rsidRDefault="009F762E" w:rsidP="002A0E52">
            <w:pPr>
              <w:spacing w:line="360" w:lineRule="auto"/>
              <w:rPr>
                <w:rFonts w:ascii="Arial" w:eastAsia="Arial" w:hAnsi="Arial" w:cs="Arial"/>
                <w:color w:val="000000" w:themeColor="text1"/>
              </w:rPr>
            </w:pPr>
          </w:p>
        </w:tc>
        <w:tc>
          <w:tcPr>
            <w:tcW w:w="2714" w:type="dxa"/>
          </w:tcPr>
          <w:p w14:paraId="4E00379A"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 xml:space="preserve"> </w:t>
            </w:r>
          </w:p>
        </w:tc>
        <w:tc>
          <w:tcPr>
            <w:tcW w:w="1305" w:type="dxa"/>
          </w:tcPr>
          <w:p w14:paraId="7961E329"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 xml:space="preserve"> </w:t>
            </w:r>
          </w:p>
        </w:tc>
        <w:tc>
          <w:tcPr>
            <w:tcW w:w="1829" w:type="dxa"/>
          </w:tcPr>
          <w:p w14:paraId="3B54A264" w14:textId="77777777" w:rsidR="009F762E" w:rsidRPr="00242DFB" w:rsidRDefault="009F762E" w:rsidP="002A0E52">
            <w:pPr>
              <w:spacing w:line="360" w:lineRule="auto"/>
              <w:rPr>
                <w:rFonts w:ascii="Arial" w:eastAsia="Arial" w:hAnsi="Arial" w:cs="Arial"/>
                <w:color w:val="000000" w:themeColor="text1"/>
              </w:rPr>
            </w:pPr>
          </w:p>
        </w:tc>
      </w:tr>
      <w:tr w:rsidR="009F762E" w:rsidRPr="00242DFB" w14:paraId="661CE691" w14:textId="77777777" w:rsidTr="00173427">
        <w:trPr>
          <w:cantSplit/>
          <w:trHeight w:val="315"/>
          <w:jc w:val="center"/>
        </w:trPr>
        <w:tc>
          <w:tcPr>
            <w:tcW w:w="661" w:type="dxa"/>
          </w:tcPr>
          <w:p w14:paraId="05463031" w14:textId="77777777" w:rsidR="009F762E" w:rsidRPr="00242DFB" w:rsidRDefault="009F762E" w:rsidP="002A0E52">
            <w:pPr>
              <w:spacing w:line="360" w:lineRule="auto"/>
              <w:rPr>
                <w:rFonts w:ascii="Arial" w:eastAsia="Arial" w:hAnsi="Arial" w:cs="Arial"/>
                <w:color w:val="000000" w:themeColor="text1"/>
              </w:rPr>
            </w:pPr>
          </w:p>
        </w:tc>
        <w:tc>
          <w:tcPr>
            <w:tcW w:w="2714" w:type="dxa"/>
          </w:tcPr>
          <w:p w14:paraId="70B38B02" w14:textId="5AE7FAD8" w:rsidR="009F762E" w:rsidRPr="00242DFB" w:rsidRDefault="0023214B" w:rsidP="002A0E52">
            <w:pPr>
              <w:spacing w:line="360" w:lineRule="auto"/>
              <w:rPr>
                <w:rFonts w:ascii="Arial" w:eastAsia="Arial" w:hAnsi="Arial" w:cs="Arial"/>
                <w:b/>
                <w:i/>
                <w:color w:val="000000" w:themeColor="text1"/>
              </w:rPr>
            </w:pPr>
            <w:r w:rsidRPr="00242DFB">
              <w:rPr>
                <w:rFonts w:ascii="Arial" w:eastAsia="Arial" w:hAnsi="Arial" w:cs="Arial"/>
                <w:b/>
                <w:i/>
                <w:color w:val="000000" w:themeColor="text1"/>
                <w:kern w:val="2"/>
              </w:rPr>
              <w:t>Total,</w:t>
            </w:r>
            <w:r w:rsidR="00000000" w:rsidRPr="00242DFB">
              <w:rPr>
                <w:rFonts w:ascii="Arial" w:eastAsia="Arial" w:hAnsi="Arial" w:cs="Arial"/>
                <w:b/>
                <w:i/>
                <w:color w:val="000000" w:themeColor="text1"/>
                <w:kern w:val="2"/>
              </w:rPr>
              <w:t xml:space="preserve"> casos</w:t>
            </w:r>
          </w:p>
        </w:tc>
        <w:tc>
          <w:tcPr>
            <w:tcW w:w="1305" w:type="dxa"/>
          </w:tcPr>
          <w:p w14:paraId="32E8C94F" w14:textId="77777777" w:rsidR="009F762E" w:rsidRPr="00242DFB" w:rsidRDefault="00000000" w:rsidP="002A0E52">
            <w:pPr>
              <w:spacing w:line="360" w:lineRule="auto"/>
              <w:jc w:val="center"/>
              <w:rPr>
                <w:rFonts w:ascii="Arial" w:eastAsia="Arial" w:hAnsi="Arial" w:cs="Arial"/>
                <w:b/>
                <w:i/>
                <w:color w:val="000000" w:themeColor="text1"/>
              </w:rPr>
            </w:pPr>
            <w:r w:rsidRPr="00242DFB">
              <w:rPr>
                <w:rFonts w:ascii="Arial" w:eastAsia="Arial" w:hAnsi="Arial" w:cs="Arial"/>
                <w:b/>
                <w:i/>
                <w:color w:val="000000" w:themeColor="text1"/>
                <w:kern w:val="2"/>
              </w:rPr>
              <w:t>8.955</w:t>
            </w:r>
          </w:p>
        </w:tc>
        <w:tc>
          <w:tcPr>
            <w:tcW w:w="1829" w:type="dxa"/>
          </w:tcPr>
          <w:p w14:paraId="277F9FA9" w14:textId="77777777" w:rsidR="009F762E" w:rsidRPr="00242DFB" w:rsidRDefault="009F762E" w:rsidP="002A0E52">
            <w:pPr>
              <w:spacing w:line="360" w:lineRule="auto"/>
              <w:rPr>
                <w:rFonts w:ascii="Arial" w:eastAsia="Arial" w:hAnsi="Arial" w:cs="Arial"/>
                <w:color w:val="000000" w:themeColor="text1"/>
              </w:rPr>
            </w:pPr>
          </w:p>
        </w:tc>
      </w:tr>
    </w:tbl>
    <w:p w14:paraId="7DC63026" w14:textId="77777777" w:rsidR="009F762E" w:rsidRPr="00242DFB" w:rsidRDefault="00000000" w:rsidP="002A0E52">
      <w:pPr>
        <w:spacing w:line="360" w:lineRule="auto"/>
        <w:jc w:val="both"/>
        <w:rPr>
          <w:rFonts w:ascii="Arial" w:eastAsia="Arial" w:hAnsi="Arial" w:cs="Arial"/>
          <w:bCs/>
          <w:color w:val="000000" w:themeColor="text1"/>
          <w:sz w:val="16"/>
          <w:szCs w:val="16"/>
        </w:rPr>
      </w:pPr>
      <w:r w:rsidRPr="00242DFB">
        <w:rPr>
          <w:rFonts w:ascii="Arial" w:eastAsia="Arial" w:hAnsi="Arial" w:cs="Arial"/>
          <w:bCs/>
          <w:color w:val="000000"/>
          <w:sz w:val="16"/>
          <w:szCs w:val="16"/>
        </w:rPr>
        <w:t>Fuente: Seguimiento Reporte de Google Forms del Número de casos especiales detectados por GAMA (27/05/2025 - 31/01/2026)</w:t>
      </w:r>
    </w:p>
    <w:p w14:paraId="5C9FD3A0" w14:textId="77777777" w:rsidR="0023214B" w:rsidRPr="00242DFB" w:rsidRDefault="0023214B" w:rsidP="002A0E52">
      <w:pPr>
        <w:spacing w:line="360" w:lineRule="auto"/>
        <w:jc w:val="both"/>
        <w:rPr>
          <w:rFonts w:ascii="Arial" w:hAnsi="Arial" w:cs="Arial"/>
          <w:color w:val="000000"/>
        </w:rPr>
      </w:pPr>
    </w:p>
    <w:p w14:paraId="37321C17" w14:textId="108F2669" w:rsidR="009F762E" w:rsidRPr="00242DFB" w:rsidRDefault="00000000" w:rsidP="002A0E52">
      <w:pPr>
        <w:spacing w:line="360" w:lineRule="auto"/>
        <w:jc w:val="both"/>
        <w:rPr>
          <w:rFonts w:ascii="Arial" w:hAnsi="Arial" w:cs="Arial"/>
          <w:color w:val="000000" w:themeColor="text1"/>
        </w:rPr>
      </w:pPr>
      <w:r w:rsidRPr="00242DFB">
        <w:rPr>
          <w:rFonts w:ascii="Arial" w:hAnsi="Arial" w:cs="Arial"/>
          <w:color w:val="000000"/>
        </w:rPr>
        <w:t>De las IPS objeto de seguimiento por el grupo GAMA vs. la Instituciones prestadoras contratadas por Capital Salud EPS, se evidencia que el 81,8% corresponden a Instituciones Prestadoras que hacen parte de la red prestadora contratada por la EPS presentan inoportunidad en el acceso por no disponibilidad de cama.</w:t>
      </w:r>
    </w:p>
    <w:p w14:paraId="186C629E" w14:textId="77777777" w:rsidR="009F762E" w:rsidRPr="00242DFB" w:rsidRDefault="009F762E" w:rsidP="002A0E52">
      <w:pPr>
        <w:spacing w:line="360" w:lineRule="auto"/>
        <w:jc w:val="both"/>
        <w:rPr>
          <w:rFonts w:ascii="Arial" w:eastAsia="Arial" w:hAnsi="Arial" w:cs="Arial"/>
          <w:color w:val="000000" w:themeColor="text1"/>
        </w:rPr>
      </w:pPr>
    </w:p>
    <w:p w14:paraId="77BDD5A2" w14:textId="54C72899" w:rsidR="0023214B" w:rsidRPr="00242DFB" w:rsidRDefault="0023214B" w:rsidP="0023214B">
      <w:pPr>
        <w:pStyle w:val="Descripcin"/>
        <w:keepNext/>
        <w:jc w:val="center"/>
        <w:rPr>
          <w:rFonts w:ascii="Arial" w:hAnsi="Arial" w:cs="Arial"/>
          <w:color w:val="000000" w:themeColor="text1"/>
          <w:sz w:val="24"/>
          <w:szCs w:val="24"/>
        </w:rPr>
      </w:pPr>
      <w:r w:rsidRPr="00242DFB">
        <w:rPr>
          <w:rFonts w:ascii="Arial" w:hAnsi="Arial" w:cs="Arial"/>
          <w:color w:val="000000" w:themeColor="text1"/>
          <w:sz w:val="24"/>
          <w:szCs w:val="24"/>
        </w:rPr>
        <w:lastRenderedPageBreak/>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16</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Distribución porcentual de casos con inoportunidad en trámites de referencia en red contratada por Capital Salud EPS-S</w:t>
      </w:r>
    </w:p>
    <w:tbl>
      <w:tblPr>
        <w:tblStyle w:val="Tablaconcuadrcula"/>
        <w:tblW w:w="8828" w:type="dxa"/>
        <w:tblLayout w:type="fixed"/>
        <w:tblLook w:val="04A0" w:firstRow="1" w:lastRow="0" w:firstColumn="1" w:lastColumn="0" w:noHBand="0" w:noVBand="1"/>
      </w:tblPr>
      <w:tblGrid>
        <w:gridCol w:w="4761"/>
        <w:gridCol w:w="2038"/>
        <w:gridCol w:w="2029"/>
      </w:tblGrid>
      <w:tr w:rsidR="009F762E" w:rsidRPr="00242DFB" w14:paraId="12FCAE3E" w14:textId="77777777" w:rsidTr="0023214B">
        <w:trPr>
          <w:cantSplit/>
          <w:trHeight w:val="450"/>
          <w:tblHeader/>
        </w:trPr>
        <w:tc>
          <w:tcPr>
            <w:tcW w:w="4761" w:type="dxa"/>
            <w:vAlign w:val="center"/>
          </w:tcPr>
          <w:p w14:paraId="2FD2B59F" w14:textId="77777777" w:rsidR="009F762E" w:rsidRPr="00242DFB" w:rsidRDefault="00000000" w:rsidP="002A0E52">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IPS</w:t>
            </w:r>
          </w:p>
        </w:tc>
        <w:tc>
          <w:tcPr>
            <w:tcW w:w="2038" w:type="dxa"/>
            <w:vAlign w:val="center"/>
          </w:tcPr>
          <w:p w14:paraId="418E6A2E" w14:textId="584136EC" w:rsidR="009F762E" w:rsidRPr="00242DFB" w:rsidRDefault="0023214B" w:rsidP="002A0E52">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Total,</w:t>
            </w:r>
            <w:r w:rsidR="00000000" w:rsidRPr="00242DFB">
              <w:rPr>
                <w:rFonts w:ascii="Arial" w:eastAsia="Arial" w:hAnsi="Arial" w:cs="Arial"/>
                <w:b/>
                <w:color w:val="000000" w:themeColor="text1"/>
                <w:kern w:val="2"/>
              </w:rPr>
              <w:t xml:space="preserve"> general</w:t>
            </w:r>
          </w:p>
        </w:tc>
        <w:tc>
          <w:tcPr>
            <w:tcW w:w="2029" w:type="dxa"/>
            <w:vAlign w:val="center"/>
          </w:tcPr>
          <w:p w14:paraId="0F8C4340" w14:textId="77777777" w:rsidR="009F762E" w:rsidRPr="00242DFB" w:rsidRDefault="00000000" w:rsidP="002A0E52">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PORCENTAJE</w:t>
            </w:r>
          </w:p>
        </w:tc>
      </w:tr>
      <w:tr w:rsidR="009F762E" w:rsidRPr="00242DFB" w14:paraId="1CD2C32D" w14:textId="77777777" w:rsidTr="0023214B">
        <w:trPr>
          <w:cantSplit/>
          <w:trHeight w:val="315"/>
        </w:trPr>
        <w:tc>
          <w:tcPr>
            <w:tcW w:w="4761" w:type="dxa"/>
            <w:vAlign w:val="center"/>
          </w:tcPr>
          <w:p w14:paraId="02B538A6"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SISS NORTE - USS Simón Bolívar</w:t>
            </w:r>
          </w:p>
        </w:tc>
        <w:tc>
          <w:tcPr>
            <w:tcW w:w="2038" w:type="dxa"/>
            <w:vAlign w:val="center"/>
          </w:tcPr>
          <w:p w14:paraId="7D4AEDA6"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246</w:t>
            </w:r>
          </w:p>
        </w:tc>
        <w:tc>
          <w:tcPr>
            <w:tcW w:w="2029" w:type="dxa"/>
            <w:vAlign w:val="center"/>
          </w:tcPr>
          <w:p w14:paraId="3E8C0619"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22,8%</w:t>
            </w:r>
          </w:p>
        </w:tc>
      </w:tr>
      <w:tr w:rsidR="009F762E" w:rsidRPr="00242DFB" w14:paraId="1E8798EC" w14:textId="77777777" w:rsidTr="0023214B">
        <w:trPr>
          <w:cantSplit/>
          <w:trHeight w:val="315"/>
        </w:trPr>
        <w:tc>
          <w:tcPr>
            <w:tcW w:w="4761" w:type="dxa"/>
            <w:vAlign w:val="center"/>
          </w:tcPr>
          <w:p w14:paraId="5C9663DF"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SISS CENTRO ORIENTE - USS Santa Clara</w:t>
            </w:r>
          </w:p>
        </w:tc>
        <w:tc>
          <w:tcPr>
            <w:tcW w:w="2038" w:type="dxa"/>
            <w:vAlign w:val="center"/>
          </w:tcPr>
          <w:p w14:paraId="108249A4"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151</w:t>
            </w:r>
          </w:p>
        </w:tc>
        <w:tc>
          <w:tcPr>
            <w:tcW w:w="2029" w:type="dxa"/>
            <w:vAlign w:val="center"/>
          </w:tcPr>
          <w:p w14:paraId="714FD412"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14,0%</w:t>
            </w:r>
          </w:p>
        </w:tc>
      </w:tr>
      <w:tr w:rsidR="009F762E" w:rsidRPr="00242DFB" w14:paraId="63A46D28" w14:textId="77777777" w:rsidTr="0023214B">
        <w:trPr>
          <w:cantSplit/>
          <w:trHeight w:val="315"/>
        </w:trPr>
        <w:tc>
          <w:tcPr>
            <w:tcW w:w="4761" w:type="dxa"/>
            <w:vAlign w:val="center"/>
          </w:tcPr>
          <w:p w14:paraId="53025C3E"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SISS SUR - USS Meissen</w:t>
            </w:r>
          </w:p>
        </w:tc>
        <w:tc>
          <w:tcPr>
            <w:tcW w:w="2038" w:type="dxa"/>
            <w:vAlign w:val="center"/>
          </w:tcPr>
          <w:p w14:paraId="1C998D71"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111</w:t>
            </w:r>
          </w:p>
        </w:tc>
        <w:tc>
          <w:tcPr>
            <w:tcW w:w="2029" w:type="dxa"/>
            <w:vAlign w:val="center"/>
          </w:tcPr>
          <w:p w14:paraId="49D3F680"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10,3%</w:t>
            </w:r>
          </w:p>
        </w:tc>
      </w:tr>
      <w:tr w:rsidR="009F762E" w:rsidRPr="00242DFB" w14:paraId="18456B4E" w14:textId="77777777" w:rsidTr="0023214B">
        <w:trPr>
          <w:cantSplit/>
          <w:trHeight w:val="315"/>
        </w:trPr>
        <w:tc>
          <w:tcPr>
            <w:tcW w:w="4761" w:type="dxa"/>
            <w:vAlign w:val="center"/>
          </w:tcPr>
          <w:p w14:paraId="35FC7D82"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SISS SUR OCCIDENTE - USS Kennedy</w:t>
            </w:r>
          </w:p>
        </w:tc>
        <w:tc>
          <w:tcPr>
            <w:tcW w:w="2038" w:type="dxa"/>
            <w:vAlign w:val="center"/>
          </w:tcPr>
          <w:p w14:paraId="3267C63C"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86</w:t>
            </w:r>
          </w:p>
        </w:tc>
        <w:tc>
          <w:tcPr>
            <w:tcW w:w="2029" w:type="dxa"/>
            <w:vAlign w:val="center"/>
          </w:tcPr>
          <w:p w14:paraId="522CB5C0"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8,0%</w:t>
            </w:r>
          </w:p>
        </w:tc>
      </w:tr>
      <w:tr w:rsidR="009F762E" w:rsidRPr="00242DFB" w14:paraId="150D38BF" w14:textId="77777777" w:rsidTr="0023214B">
        <w:trPr>
          <w:cantSplit/>
          <w:trHeight w:val="315"/>
        </w:trPr>
        <w:tc>
          <w:tcPr>
            <w:tcW w:w="4761" w:type="dxa"/>
            <w:vAlign w:val="center"/>
          </w:tcPr>
          <w:p w14:paraId="3A326009"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SISS SUR - USS El Tunal</w:t>
            </w:r>
          </w:p>
        </w:tc>
        <w:tc>
          <w:tcPr>
            <w:tcW w:w="2038" w:type="dxa"/>
            <w:vAlign w:val="center"/>
          </w:tcPr>
          <w:p w14:paraId="399B04CC"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85</w:t>
            </w:r>
          </w:p>
        </w:tc>
        <w:tc>
          <w:tcPr>
            <w:tcW w:w="2029" w:type="dxa"/>
            <w:vAlign w:val="center"/>
          </w:tcPr>
          <w:p w14:paraId="0B13E38C"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7,9%</w:t>
            </w:r>
          </w:p>
        </w:tc>
      </w:tr>
      <w:tr w:rsidR="009F762E" w:rsidRPr="00242DFB" w14:paraId="348F487B" w14:textId="77777777" w:rsidTr="0023214B">
        <w:trPr>
          <w:cantSplit/>
          <w:trHeight w:val="315"/>
        </w:trPr>
        <w:tc>
          <w:tcPr>
            <w:tcW w:w="4761" w:type="dxa"/>
            <w:vAlign w:val="center"/>
          </w:tcPr>
          <w:p w14:paraId="3746A46B"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SISS CENTRO ORIENTE - USS San Blas</w:t>
            </w:r>
          </w:p>
        </w:tc>
        <w:tc>
          <w:tcPr>
            <w:tcW w:w="2038" w:type="dxa"/>
            <w:vAlign w:val="center"/>
          </w:tcPr>
          <w:p w14:paraId="2C1E7D15"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52</w:t>
            </w:r>
          </w:p>
        </w:tc>
        <w:tc>
          <w:tcPr>
            <w:tcW w:w="2029" w:type="dxa"/>
            <w:vAlign w:val="center"/>
          </w:tcPr>
          <w:p w14:paraId="28B14ACC"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4,8%</w:t>
            </w:r>
          </w:p>
        </w:tc>
      </w:tr>
      <w:tr w:rsidR="009F762E" w:rsidRPr="00242DFB" w14:paraId="4DB24D26" w14:textId="77777777" w:rsidTr="0023214B">
        <w:trPr>
          <w:cantSplit/>
          <w:trHeight w:val="315"/>
        </w:trPr>
        <w:tc>
          <w:tcPr>
            <w:tcW w:w="4761" w:type="dxa"/>
            <w:vAlign w:val="center"/>
          </w:tcPr>
          <w:p w14:paraId="77DC5E63"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SISS NORTE - USS Engativá</w:t>
            </w:r>
          </w:p>
        </w:tc>
        <w:tc>
          <w:tcPr>
            <w:tcW w:w="2038" w:type="dxa"/>
            <w:vAlign w:val="center"/>
          </w:tcPr>
          <w:p w14:paraId="5C1DF5A6"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49</w:t>
            </w:r>
          </w:p>
        </w:tc>
        <w:tc>
          <w:tcPr>
            <w:tcW w:w="2029" w:type="dxa"/>
            <w:vAlign w:val="center"/>
          </w:tcPr>
          <w:p w14:paraId="0465BA8C"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4,5%</w:t>
            </w:r>
          </w:p>
        </w:tc>
      </w:tr>
      <w:tr w:rsidR="009F762E" w:rsidRPr="00242DFB" w14:paraId="79ED4B01" w14:textId="77777777" w:rsidTr="0023214B">
        <w:trPr>
          <w:cantSplit/>
          <w:trHeight w:val="315"/>
        </w:trPr>
        <w:tc>
          <w:tcPr>
            <w:tcW w:w="4761" w:type="dxa"/>
            <w:vAlign w:val="center"/>
          </w:tcPr>
          <w:p w14:paraId="4C467ECD"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 xml:space="preserve">Sociedad de Cirugía de Bogotá Hospital de San José </w:t>
            </w:r>
          </w:p>
        </w:tc>
        <w:tc>
          <w:tcPr>
            <w:tcW w:w="2038" w:type="dxa"/>
            <w:vAlign w:val="center"/>
          </w:tcPr>
          <w:p w14:paraId="477B49B3"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37</w:t>
            </w:r>
          </w:p>
        </w:tc>
        <w:tc>
          <w:tcPr>
            <w:tcW w:w="2029" w:type="dxa"/>
            <w:vAlign w:val="center"/>
          </w:tcPr>
          <w:p w14:paraId="5FC73FF4"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3,4%</w:t>
            </w:r>
          </w:p>
        </w:tc>
      </w:tr>
      <w:tr w:rsidR="009F762E" w:rsidRPr="00242DFB" w14:paraId="2DA7B3D5" w14:textId="77777777" w:rsidTr="0023214B">
        <w:trPr>
          <w:cantSplit/>
          <w:trHeight w:val="315"/>
        </w:trPr>
        <w:tc>
          <w:tcPr>
            <w:tcW w:w="4761" w:type="dxa"/>
            <w:vAlign w:val="center"/>
          </w:tcPr>
          <w:p w14:paraId="1F635DA0"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 xml:space="preserve">Instituto Nacional de Cancerología </w:t>
            </w:r>
          </w:p>
        </w:tc>
        <w:tc>
          <w:tcPr>
            <w:tcW w:w="2038" w:type="dxa"/>
            <w:vAlign w:val="center"/>
          </w:tcPr>
          <w:p w14:paraId="420B8B22"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34</w:t>
            </w:r>
          </w:p>
        </w:tc>
        <w:tc>
          <w:tcPr>
            <w:tcW w:w="2029" w:type="dxa"/>
            <w:vAlign w:val="center"/>
          </w:tcPr>
          <w:p w14:paraId="4FE5602E"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3,1%</w:t>
            </w:r>
          </w:p>
        </w:tc>
      </w:tr>
      <w:tr w:rsidR="009F762E" w:rsidRPr="00242DFB" w14:paraId="0186679C" w14:textId="77777777" w:rsidTr="0023214B">
        <w:trPr>
          <w:cantSplit/>
          <w:trHeight w:val="315"/>
        </w:trPr>
        <w:tc>
          <w:tcPr>
            <w:tcW w:w="4761" w:type="dxa"/>
            <w:vAlign w:val="center"/>
          </w:tcPr>
          <w:p w14:paraId="15AAB42B"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SISS CENTRO ORIENTE - USS La Victoria</w:t>
            </w:r>
          </w:p>
        </w:tc>
        <w:tc>
          <w:tcPr>
            <w:tcW w:w="2038" w:type="dxa"/>
            <w:vAlign w:val="center"/>
          </w:tcPr>
          <w:p w14:paraId="50CE9B87"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34</w:t>
            </w:r>
          </w:p>
        </w:tc>
        <w:tc>
          <w:tcPr>
            <w:tcW w:w="2029" w:type="dxa"/>
            <w:vAlign w:val="center"/>
          </w:tcPr>
          <w:p w14:paraId="213175F1"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3,1%</w:t>
            </w:r>
          </w:p>
        </w:tc>
      </w:tr>
      <w:tr w:rsidR="009F762E" w:rsidRPr="00242DFB" w14:paraId="4D099DD5" w14:textId="77777777" w:rsidTr="0023214B">
        <w:trPr>
          <w:cantSplit/>
          <w:trHeight w:val="315"/>
        </w:trPr>
        <w:tc>
          <w:tcPr>
            <w:tcW w:w="4761" w:type="dxa"/>
            <w:vAlign w:val="center"/>
          </w:tcPr>
          <w:p w14:paraId="1C4182F9" w14:textId="77777777" w:rsidR="009F762E" w:rsidRPr="00242DFB" w:rsidRDefault="00000000" w:rsidP="002A0E52">
            <w:pPr>
              <w:spacing w:line="360" w:lineRule="auto"/>
              <w:rPr>
                <w:rFonts w:ascii="Arial" w:eastAsia="Arial" w:hAnsi="Arial" w:cs="Arial"/>
                <w:b/>
                <w:color w:val="000000" w:themeColor="text1"/>
              </w:rPr>
            </w:pPr>
            <w:r w:rsidRPr="00242DFB">
              <w:rPr>
                <w:rFonts w:ascii="Arial" w:eastAsia="Arial" w:hAnsi="Arial" w:cs="Arial"/>
                <w:b/>
                <w:color w:val="000000" w:themeColor="text1"/>
                <w:kern w:val="2"/>
              </w:rPr>
              <w:t>Subtotal diez IPS con mayor participación</w:t>
            </w:r>
          </w:p>
        </w:tc>
        <w:tc>
          <w:tcPr>
            <w:tcW w:w="2038" w:type="dxa"/>
            <w:vAlign w:val="center"/>
          </w:tcPr>
          <w:p w14:paraId="184A3FE3"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hAnsi="Arial" w:cs="Arial"/>
                <w:kern w:val="2"/>
              </w:rPr>
              <w:t>885</w:t>
            </w:r>
          </w:p>
        </w:tc>
        <w:tc>
          <w:tcPr>
            <w:tcW w:w="2029" w:type="dxa"/>
            <w:vAlign w:val="center"/>
          </w:tcPr>
          <w:p w14:paraId="738193A2"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b/>
                <w:color w:val="000000" w:themeColor="text1"/>
                <w:kern w:val="2"/>
              </w:rPr>
              <w:t>82,0%</w:t>
            </w:r>
          </w:p>
        </w:tc>
      </w:tr>
    </w:tbl>
    <w:p w14:paraId="04F8CCE0" w14:textId="77777777" w:rsidR="009F762E" w:rsidRPr="00242DFB" w:rsidRDefault="00000000" w:rsidP="002A0E52">
      <w:pPr>
        <w:spacing w:line="360" w:lineRule="auto"/>
        <w:jc w:val="both"/>
        <w:rPr>
          <w:rFonts w:ascii="Arial" w:hAnsi="Arial" w:cs="Arial"/>
          <w:color w:val="000000"/>
          <w:sz w:val="16"/>
          <w:szCs w:val="16"/>
        </w:rPr>
      </w:pPr>
      <w:r w:rsidRPr="00242DFB">
        <w:rPr>
          <w:rFonts w:ascii="Arial" w:hAnsi="Arial" w:cs="Arial"/>
          <w:color w:val="000000"/>
          <w:sz w:val="16"/>
          <w:szCs w:val="16"/>
        </w:rPr>
        <w:t xml:space="preserve">Fuente: Consolidado Número de casos especiales detectados por GAMA (27/05/2025 - 31/01/2026) vs. Cruce Matriz red prestadora reportada por Capital Salud EPS-S corte diciembre 2025. </w:t>
      </w:r>
    </w:p>
    <w:p w14:paraId="2972B617" w14:textId="77777777" w:rsidR="00890F98" w:rsidRPr="00242DFB" w:rsidRDefault="00890F98" w:rsidP="002A0E52">
      <w:pPr>
        <w:spacing w:line="360" w:lineRule="auto"/>
        <w:jc w:val="both"/>
        <w:rPr>
          <w:rFonts w:ascii="Arial" w:eastAsia="Arial" w:hAnsi="Arial" w:cs="Arial"/>
          <w:b/>
          <w:color w:val="000000" w:themeColor="text1"/>
        </w:rPr>
      </w:pPr>
    </w:p>
    <w:p w14:paraId="57D84E58"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Ahora bien, el </w:t>
      </w:r>
      <w:r w:rsidRPr="00242DFB">
        <w:rPr>
          <w:rFonts w:ascii="Arial" w:eastAsia="Arial" w:hAnsi="Arial" w:cs="Arial"/>
          <w:b/>
          <w:bCs/>
          <w:color w:val="000000"/>
        </w:rPr>
        <w:t>4,7%</w:t>
      </w:r>
      <w:r w:rsidRPr="00242DFB">
        <w:rPr>
          <w:rFonts w:ascii="Arial" w:eastAsia="Arial" w:hAnsi="Arial" w:cs="Arial"/>
          <w:color w:val="000000"/>
        </w:rPr>
        <w:t xml:space="preserve"> corresponde a las Instituciones prestadoras que no hacen parte de la red prestadora adscrita a Capital Salud EPS, donde los usuarios objeto de seguimiento presentaron inoportunidad en los procesos de remisión y traslados. </w:t>
      </w:r>
    </w:p>
    <w:p w14:paraId="20425CD0" w14:textId="77777777" w:rsidR="009F762E" w:rsidRPr="00242DFB" w:rsidRDefault="009F762E" w:rsidP="002A0E52">
      <w:pPr>
        <w:spacing w:line="360" w:lineRule="auto"/>
        <w:jc w:val="both"/>
        <w:rPr>
          <w:rFonts w:ascii="Arial" w:hAnsi="Arial" w:cs="Arial"/>
          <w:color w:val="000000" w:themeColor="text1"/>
        </w:rPr>
      </w:pPr>
    </w:p>
    <w:p w14:paraId="2CEF5F0C" w14:textId="06B1970F" w:rsidR="009F762E" w:rsidRPr="00242DFB" w:rsidRDefault="009F762E" w:rsidP="002A0E52">
      <w:pPr>
        <w:spacing w:line="360" w:lineRule="auto"/>
        <w:jc w:val="center"/>
        <w:rPr>
          <w:rFonts w:ascii="Arial" w:eastAsiaTheme="minorEastAsia" w:hAnsi="Arial" w:cs="Arial"/>
          <w:color w:val="000000" w:themeColor="text1"/>
        </w:rPr>
      </w:pPr>
    </w:p>
    <w:p w14:paraId="362A7105" w14:textId="5E114551" w:rsidR="00890F98" w:rsidRPr="00242DFB" w:rsidRDefault="00890F98" w:rsidP="00890F98">
      <w:pPr>
        <w:pStyle w:val="Descripcin"/>
        <w:keepNext/>
        <w:jc w:val="center"/>
        <w:rPr>
          <w:rFonts w:ascii="Arial" w:hAnsi="Arial" w:cs="Arial"/>
          <w:color w:val="000000" w:themeColor="text1"/>
          <w:sz w:val="24"/>
          <w:szCs w:val="24"/>
        </w:rPr>
      </w:pPr>
      <w:r w:rsidRPr="00242DFB">
        <w:rPr>
          <w:rFonts w:ascii="Arial" w:hAnsi="Arial" w:cs="Arial"/>
          <w:color w:val="000000" w:themeColor="text1"/>
          <w:sz w:val="24"/>
          <w:szCs w:val="24"/>
        </w:rPr>
        <w:lastRenderedPageBreak/>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17</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Distribución porcentual de casos con inoportunidad en trámites de referencia en red no contratada por Capital Salud EPS-S</w:t>
      </w:r>
    </w:p>
    <w:tbl>
      <w:tblPr>
        <w:tblStyle w:val="Tablaconcuadrcula"/>
        <w:tblW w:w="9634" w:type="dxa"/>
        <w:jc w:val="center"/>
        <w:tblLayout w:type="fixed"/>
        <w:tblLook w:val="04A0" w:firstRow="1" w:lastRow="0" w:firstColumn="1" w:lastColumn="0" w:noHBand="0" w:noVBand="1"/>
      </w:tblPr>
      <w:tblGrid>
        <w:gridCol w:w="3492"/>
        <w:gridCol w:w="2032"/>
        <w:gridCol w:w="1984"/>
        <w:gridCol w:w="2126"/>
      </w:tblGrid>
      <w:tr w:rsidR="009F762E" w:rsidRPr="00242DFB" w14:paraId="3F766D3A" w14:textId="77777777" w:rsidTr="00890F98">
        <w:trPr>
          <w:cantSplit/>
          <w:trHeight w:val="750"/>
          <w:tblHeader/>
          <w:jc w:val="center"/>
        </w:trPr>
        <w:tc>
          <w:tcPr>
            <w:tcW w:w="3492" w:type="dxa"/>
            <w:vAlign w:val="center"/>
          </w:tcPr>
          <w:p w14:paraId="761E0DC6" w14:textId="77777777" w:rsidR="009F762E" w:rsidRPr="00242DFB" w:rsidRDefault="00000000" w:rsidP="002A0E52">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IPS</w:t>
            </w:r>
          </w:p>
        </w:tc>
        <w:tc>
          <w:tcPr>
            <w:tcW w:w="2032" w:type="dxa"/>
            <w:vAlign w:val="center"/>
          </w:tcPr>
          <w:p w14:paraId="7A034A87" w14:textId="77777777" w:rsidR="009F762E" w:rsidRPr="00242DFB" w:rsidRDefault="00000000" w:rsidP="002A0E52">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 xml:space="preserve">CRUCE </w:t>
            </w:r>
          </w:p>
        </w:tc>
        <w:tc>
          <w:tcPr>
            <w:tcW w:w="1984" w:type="dxa"/>
            <w:vAlign w:val="center"/>
          </w:tcPr>
          <w:p w14:paraId="6B4F28EF" w14:textId="461770C7" w:rsidR="009F762E" w:rsidRPr="00242DFB" w:rsidRDefault="00FE016F" w:rsidP="002A0E52">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Total,</w:t>
            </w:r>
            <w:r w:rsidR="00000000" w:rsidRPr="00242DFB">
              <w:rPr>
                <w:rFonts w:ascii="Arial" w:eastAsia="Arial" w:hAnsi="Arial" w:cs="Arial"/>
                <w:b/>
                <w:color w:val="000000" w:themeColor="text1"/>
                <w:kern w:val="2"/>
              </w:rPr>
              <w:t xml:space="preserve"> general</w:t>
            </w:r>
          </w:p>
        </w:tc>
        <w:tc>
          <w:tcPr>
            <w:tcW w:w="2126" w:type="dxa"/>
            <w:vAlign w:val="center"/>
          </w:tcPr>
          <w:p w14:paraId="56E23775" w14:textId="77777777" w:rsidR="009F762E" w:rsidRPr="00242DFB" w:rsidRDefault="00000000" w:rsidP="002A0E52">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PORCENTAJE</w:t>
            </w:r>
          </w:p>
        </w:tc>
      </w:tr>
      <w:tr w:rsidR="009F762E" w:rsidRPr="00242DFB" w14:paraId="48FC67A3" w14:textId="77777777" w:rsidTr="00890F98">
        <w:trPr>
          <w:cantSplit/>
          <w:trHeight w:val="300"/>
          <w:tblHeader/>
          <w:jc w:val="center"/>
        </w:trPr>
        <w:tc>
          <w:tcPr>
            <w:tcW w:w="3492" w:type="dxa"/>
            <w:vAlign w:val="center"/>
          </w:tcPr>
          <w:p w14:paraId="3D492F39"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 xml:space="preserve">Clínica Medical </w:t>
            </w:r>
          </w:p>
        </w:tc>
        <w:tc>
          <w:tcPr>
            <w:tcW w:w="2032" w:type="dxa"/>
            <w:vAlign w:val="center"/>
          </w:tcPr>
          <w:p w14:paraId="3BA57FCA"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No contratada</w:t>
            </w:r>
          </w:p>
        </w:tc>
        <w:tc>
          <w:tcPr>
            <w:tcW w:w="1984" w:type="dxa"/>
            <w:vAlign w:val="center"/>
          </w:tcPr>
          <w:p w14:paraId="5724394E"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22</w:t>
            </w:r>
          </w:p>
        </w:tc>
        <w:tc>
          <w:tcPr>
            <w:tcW w:w="2126" w:type="dxa"/>
            <w:vAlign w:val="center"/>
          </w:tcPr>
          <w:p w14:paraId="23B745C5"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2,0%</w:t>
            </w:r>
          </w:p>
        </w:tc>
      </w:tr>
      <w:tr w:rsidR="009F762E" w:rsidRPr="00242DFB" w14:paraId="098FE850" w14:textId="77777777" w:rsidTr="00890F98">
        <w:trPr>
          <w:cantSplit/>
          <w:trHeight w:val="300"/>
          <w:tblHeader/>
          <w:jc w:val="center"/>
        </w:trPr>
        <w:tc>
          <w:tcPr>
            <w:tcW w:w="3492" w:type="dxa"/>
            <w:vAlign w:val="center"/>
          </w:tcPr>
          <w:p w14:paraId="1620C696"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Fundación Abood Shaio</w:t>
            </w:r>
          </w:p>
        </w:tc>
        <w:tc>
          <w:tcPr>
            <w:tcW w:w="2032" w:type="dxa"/>
            <w:vAlign w:val="center"/>
          </w:tcPr>
          <w:p w14:paraId="026F3154"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No contratada</w:t>
            </w:r>
          </w:p>
        </w:tc>
        <w:tc>
          <w:tcPr>
            <w:tcW w:w="1984" w:type="dxa"/>
            <w:vAlign w:val="center"/>
          </w:tcPr>
          <w:p w14:paraId="7EC405E7"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8</w:t>
            </w:r>
          </w:p>
        </w:tc>
        <w:tc>
          <w:tcPr>
            <w:tcW w:w="2126" w:type="dxa"/>
            <w:vAlign w:val="center"/>
          </w:tcPr>
          <w:p w14:paraId="41237D6F"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0,7%</w:t>
            </w:r>
          </w:p>
        </w:tc>
      </w:tr>
      <w:tr w:rsidR="009F762E" w:rsidRPr="00242DFB" w14:paraId="1F7A38B9" w14:textId="77777777" w:rsidTr="00890F98">
        <w:trPr>
          <w:cantSplit/>
          <w:trHeight w:val="300"/>
          <w:tblHeader/>
          <w:jc w:val="center"/>
        </w:trPr>
        <w:tc>
          <w:tcPr>
            <w:tcW w:w="3492" w:type="dxa"/>
            <w:vAlign w:val="center"/>
          </w:tcPr>
          <w:p w14:paraId="70D0087F"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Hospital Universitario Mayor-Méderi</w:t>
            </w:r>
          </w:p>
        </w:tc>
        <w:tc>
          <w:tcPr>
            <w:tcW w:w="2032" w:type="dxa"/>
            <w:vAlign w:val="center"/>
          </w:tcPr>
          <w:p w14:paraId="77E2DC41"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No contratada</w:t>
            </w:r>
          </w:p>
        </w:tc>
        <w:tc>
          <w:tcPr>
            <w:tcW w:w="1984" w:type="dxa"/>
            <w:vAlign w:val="center"/>
          </w:tcPr>
          <w:p w14:paraId="5528AE03"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8</w:t>
            </w:r>
          </w:p>
        </w:tc>
        <w:tc>
          <w:tcPr>
            <w:tcW w:w="2126" w:type="dxa"/>
            <w:vAlign w:val="center"/>
          </w:tcPr>
          <w:p w14:paraId="14A8816F"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0,7%</w:t>
            </w:r>
          </w:p>
        </w:tc>
      </w:tr>
      <w:tr w:rsidR="009F762E" w:rsidRPr="00242DFB" w14:paraId="2AB02E66" w14:textId="77777777" w:rsidTr="00890F98">
        <w:trPr>
          <w:cantSplit/>
          <w:trHeight w:val="300"/>
          <w:tblHeader/>
          <w:jc w:val="center"/>
        </w:trPr>
        <w:tc>
          <w:tcPr>
            <w:tcW w:w="3492" w:type="dxa"/>
            <w:vAlign w:val="center"/>
          </w:tcPr>
          <w:p w14:paraId="2EDEC9EE"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Fundación Santafé de Bogotá</w:t>
            </w:r>
          </w:p>
        </w:tc>
        <w:tc>
          <w:tcPr>
            <w:tcW w:w="2032" w:type="dxa"/>
            <w:vAlign w:val="center"/>
          </w:tcPr>
          <w:p w14:paraId="33F57632"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No contratada</w:t>
            </w:r>
          </w:p>
        </w:tc>
        <w:tc>
          <w:tcPr>
            <w:tcW w:w="1984" w:type="dxa"/>
            <w:vAlign w:val="center"/>
          </w:tcPr>
          <w:p w14:paraId="6AC4219F"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7</w:t>
            </w:r>
          </w:p>
        </w:tc>
        <w:tc>
          <w:tcPr>
            <w:tcW w:w="2126" w:type="dxa"/>
            <w:vAlign w:val="center"/>
          </w:tcPr>
          <w:p w14:paraId="014AB937"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0,6%</w:t>
            </w:r>
          </w:p>
        </w:tc>
      </w:tr>
      <w:tr w:rsidR="009F762E" w:rsidRPr="00242DFB" w14:paraId="02F07B7A" w14:textId="77777777" w:rsidTr="00890F98">
        <w:trPr>
          <w:cantSplit/>
          <w:trHeight w:val="300"/>
          <w:tblHeader/>
          <w:jc w:val="center"/>
        </w:trPr>
        <w:tc>
          <w:tcPr>
            <w:tcW w:w="3492" w:type="dxa"/>
            <w:vAlign w:val="center"/>
          </w:tcPr>
          <w:p w14:paraId="43F0DA78"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Clínica la Colina</w:t>
            </w:r>
          </w:p>
        </w:tc>
        <w:tc>
          <w:tcPr>
            <w:tcW w:w="2032" w:type="dxa"/>
            <w:vAlign w:val="center"/>
          </w:tcPr>
          <w:p w14:paraId="09FA03A7" w14:textId="77777777" w:rsidR="009F762E" w:rsidRPr="00242DFB" w:rsidRDefault="00000000" w:rsidP="002A0E52">
            <w:pPr>
              <w:spacing w:line="360" w:lineRule="auto"/>
              <w:rPr>
                <w:rFonts w:ascii="Arial" w:eastAsia="Arial" w:hAnsi="Arial" w:cs="Arial"/>
                <w:color w:val="000000" w:themeColor="text1"/>
              </w:rPr>
            </w:pPr>
            <w:r w:rsidRPr="00242DFB">
              <w:rPr>
                <w:rFonts w:ascii="Arial" w:eastAsia="Arial" w:hAnsi="Arial" w:cs="Arial"/>
                <w:color w:val="000000" w:themeColor="text1"/>
                <w:kern w:val="2"/>
              </w:rPr>
              <w:t>No contratada</w:t>
            </w:r>
          </w:p>
        </w:tc>
        <w:tc>
          <w:tcPr>
            <w:tcW w:w="1984" w:type="dxa"/>
            <w:vAlign w:val="center"/>
          </w:tcPr>
          <w:p w14:paraId="576AD590"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6</w:t>
            </w:r>
          </w:p>
        </w:tc>
        <w:tc>
          <w:tcPr>
            <w:tcW w:w="2126" w:type="dxa"/>
            <w:vAlign w:val="center"/>
          </w:tcPr>
          <w:p w14:paraId="388FE27C"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0,6%</w:t>
            </w:r>
          </w:p>
        </w:tc>
      </w:tr>
      <w:tr w:rsidR="009F762E" w:rsidRPr="00242DFB" w14:paraId="06CB976B" w14:textId="77777777" w:rsidTr="00890F98">
        <w:trPr>
          <w:cantSplit/>
          <w:trHeight w:val="300"/>
          <w:tblHeader/>
          <w:jc w:val="center"/>
        </w:trPr>
        <w:tc>
          <w:tcPr>
            <w:tcW w:w="3492" w:type="dxa"/>
            <w:vAlign w:val="center"/>
          </w:tcPr>
          <w:p w14:paraId="5EBDB549" w14:textId="77777777" w:rsidR="009F762E" w:rsidRPr="00242DFB" w:rsidRDefault="00000000" w:rsidP="002A0E52">
            <w:pPr>
              <w:spacing w:line="360" w:lineRule="auto"/>
              <w:rPr>
                <w:rFonts w:ascii="Arial" w:eastAsia="Arial" w:hAnsi="Arial" w:cs="Arial"/>
                <w:b/>
                <w:color w:val="000000" w:themeColor="text1"/>
              </w:rPr>
            </w:pPr>
            <w:r w:rsidRPr="00242DFB">
              <w:rPr>
                <w:rFonts w:ascii="Arial" w:eastAsia="Arial" w:hAnsi="Arial" w:cs="Arial"/>
                <w:b/>
                <w:color w:val="000000" w:themeColor="text1"/>
                <w:kern w:val="2"/>
              </w:rPr>
              <w:t>Subtotal cinco IPS no contratadas</w:t>
            </w:r>
          </w:p>
        </w:tc>
        <w:tc>
          <w:tcPr>
            <w:tcW w:w="2032" w:type="dxa"/>
            <w:vAlign w:val="center"/>
          </w:tcPr>
          <w:p w14:paraId="2EE093AE" w14:textId="77777777" w:rsidR="009F762E" w:rsidRPr="00242DFB" w:rsidRDefault="009F762E" w:rsidP="002A0E52">
            <w:pPr>
              <w:spacing w:line="360" w:lineRule="auto"/>
              <w:rPr>
                <w:rFonts w:ascii="Arial" w:eastAsia="Arial" w:hAnsi="Arial" w:cs="Arial"/>
                <w:color w:val="000000" w:themeColor="text1"/>
              </w:rPr>
            </w:pPr>
          </w:p>
        </w:tc>
        <w:tc>
          <w:tcPr>
            <w:tcW w:w="1984" w:type="dxa"/>
            <w:vAlign w:val="center"/>
          </w:tcPr>
          <w:p w14:paraId="788E42BD"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hAnsi="Arial" w:cs="Arial"/>
                <w:kern w:val="2"/>
              </w:rPr>
              <w:t>51</w:t>
            </w:r>
          </w:p>
        </w:tc>
        <w:tc>
          <w:tcPr>
            <w:tcW w:w="2126" w:type="dxa"/>
            <w:vAlign w:val="center"/>
          </w:tcPr>
          <w:p w14:paraId="04A34646"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eastAsia="Arial" w:hAnsi="Arial" w:cs="Arial"/>
                <w:b/>
                <w:color w:val="000000" w:themeColor="text1"/>
                <w:kern w:val="2"/>
              </w:rPr>
              <w:t>4,7%</w:t>
            </w:r>
          </w:p>
        </w:tc>
      </w:tr>
    </w:tbl>
    <w:p w14:paraId="4B7C88E3" w14:textId="77777777" w:rsidR="009F762E" w:rsidRPr="00242DFB" w:rsidRDefault="00000000" w:rsidP="002A0E52">
      <w:pPr>
        <w:spacing w:line="360" w:lineRule="auto"/>
        <w:jc w:val="both"/>
        <w:rPr>
          <w:rFonts w:ascii="Arial" w:hAnsi="Arial" w:cs="Arial"/>
          <w:color w:val="000000"/>
          <w:sz w:val="16"/>
          <w:szCs w:val="16"/>
        </w:rPr>
      </w:pPr>
      <w:r w:rsidRPr="00242DFB">
        <w:rPr>
          <w:rFonts w:ascii="Arial" w:hAnsi="Arial" w:cs="Arial"/>
          <w:color w:val="000000"/>
          <w:sz w:val="16"/>
          <w:szCs w:val="16"/>
        </w:rPr>
        <w:t>Fuente: Consolidado Número de casos especiales detectados por GAMA (27/05/2025 - 31/01/2026) vs. Cruce Matriz red prestadora reportada por Capital Salud EPS-S corte diciembre 2025.</w:t>
      </w:r>
    </w:p>
    <w:p w14:paraId="23DFA5E6" w14:textId="77777777" w:rsidR="0023214B" w:rsidRPr="00242DFB" w:rsidRDefault="0023214B" w:rsidP="002A0E52">
      <w:pPr>
        <w:spacing w:line="360" w:lineRule="auto"/>
        <w:jc w:val="both"/>
        <w:rPr>
          <w:rFonts w:ascii="Arial" w:eastAsia="Arial" w:hAnsi="Arial" w:cs="Arial"/>
          <w:color w:val="000000" w:themeColor="text1"/>
        </w:rPr>
      </w:pPr>
    </w:p>
    <w:p w14:paraId="039C3BF8" w14:textId="77777777" w:rsidR="009F762E" w:rsidRPr="00242DFB" w:rsidRDefault="00000000" w:rsidP="002A0E52">
      <w:pPr>
        <w:spacing w:line="360" w:lineRule="auto"/>
        <w:jc w:val="both"/>
        <w:rPr>
          <w:rFonts w:ascii="Arial" w:eastAsia="Arial" w:hAnsi="Arial" w:cs="Arial"/>
          <w:b/>
          <w:color w:val="000000" w:themeColor="text1"/>
        </w:rPr>
      </w:pPr>
      <w:r w:rsidRPr="00242DFB">
        <w:rPr>
          <w:rFonts w:ascii="Arial" w:eastAsia="Arial" w:hAnsi="Arial" w:cs="Arial"/>
          <w:b/>
          <w:color w:val="000000"/>
        </w:rPr>
        <w:t xml:space="preserve"> </w:t>
      </w:r>
      <w:r w:rsidRPr="00242DFB">
        <w:rPr>
          <w:rFonts w:ascii="Arial" w:eastAsia="Arial" w:hAnsi="Arial" w:cs="Arial"/>
          <w:color w:val="000000"/>
        </w:rPr>
        <w:t xml:space="preserve">El seguimiento realizado por el Grupo de Atención y Monitoreo en Salud (GAMA) de la Subdirección de Garantía del Aseguramiento, evidencia una problemática relevante en la red prestadora frente a la inoportunidad y efectividad de los procesos de referencia, remisión, traslados e interconsultas, con tiempos superiores a 24 horas, lo cual afecta directamente la continuidad y calidad en la atención de los usuarios del sistema de salud. </w:t>
      </w:r>
    </w:p>
    <w:p w14:paraId="1BB541DB" w14:textId="77777777" w:rsidR="009F762E" w:rsidRPr="00242DFB" w:rsidRDefault="009F762E" w:rsidP="002A0E52">
      <w:pPr>
        <w:spacing w:line="360" w:lineRule="auto"/>
        <w:jc w:val="both"/>
        <w:rPr>
          <w:rFonts w:ascii="Arial" w:eastAsia="Arial" w:hAnsi="Arial" w:cs="Arial"/>
          <w:color w:val="000000" w:themeColor="text1"/>
        </w:rPr>
      </w:pPr>
    </w:p>
    <w:p w14:paraId="13AC4135"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hAnsi="Arial" w:cs="Arial"/>
          <w:color w:val="000000"/>
        </w:rPr>
        <w:t>El análisis de las Instituciones Prestadoras de Servicios de Salud (IPS) vinculadas a Capital Salud EPS-S permite evidenciar que el 82,0% de los casos con inoportunidad se concentran en las Subredes Integradas de Salud, que hacen parte de su red prestadora contratada, siendo la principal causa la no disponibilidad de camas, situación que refleja limitaciones en la capacidad instalada y en la gestión de la red para responder de manera oportuna a la demanda asistencial. Este hallazgo pone de manifiesto la necesidad de fortalecer los mecanismos de planeación, articulación y monitoreo de la red prestadora, especialmente en servicios de mediana y alta complejidad.</w:t>
      </w:r>
    </w:p>
    <w:p w14:paraId="524E4F24" w14:textId="77777777" w:rsidR="009F762E" w:rsidRPr="00242DFB" w:rsidRDefault="009F762E" w:rsidP="002A0E52">
      <w:pPr>
        <w:spacing w:line="360" w:lineRule="auto"/>
        <w:jc w:val="both"/>
        <w:rPr>
          <w:rFonts w:ascii="Arial" w:eastAsia="Arial" w:hAnsi="Arial" w:cs="Arial"/>
          <w:color w:val="000000" w:themeColor="text1"/>
        </w:rPr>
      </w:pPr>
    </w:p>
    <w:p w14:paraId="213EFD75"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lastRenderedPageBreak/>
        <w:t>En conclusión, los resultados del seguimiento realizado por GAMA evidencian la necesidad de implementar acciones correctivas y preventivas orientadas a mejorar la oportunidad en la atención, optimizar la gestión de la red prestadora, fortalecer los procesos de referencia y contra referencia, y garantizar la disponibilidad efectiva de servicios críticos. Estas acciones son fundamentales para asegurar el acceso oportuno, continuo y de calidad a los servicios de salud, en concordancia con los principios de eficiencia, integralidad y protección del derecho fundamental a la salud.</w:t>
      </w:r>
    </w:p>
    <w:p w14:paraId="088E4221" w14:textId="77777777" w:rsidR="009F762E" w:rsidRPr="00242DFB" w:rsidRDefault="009F762E" w:rsidP="002A0E52">
      <w:pPr>
        <w:spacing w:line="360" w:lineRule="auto"/>
        <w:rPr>
          <w:rFonts w:ascii="Arial" w:eastAsia="Arial" w:hAnsi="Arial" w:cs="Arial"/>
          <w:color w:val="000000" w:themeColor="text1"/>
        </w:rPr>
      </w:pPr>
    </w:p>
    <w:p w14:paraId="548BB08C" w14:textId="77777777" w:rsidR="009F762E" w:rsidRPr="00242DFB" w:rsidRDefault="00000000" w:rsidP="005B3561">
      <w:pPr>
        <w:pStyle w:val="Ttulo2"/>
        <w:numPr>
          <w:ilvl w:val="1"/>
          <w:numId w:val="7"/>
        </w:numPr>
        <w:spacing w:before="0" w:line="360" w:lineRule="auto"/>
        <w:jc w:val="both"/>
        <w:rPr>
          <w:rFonts w:ascii="Arial" w:hAnsi="Arial" w:cs="Arial"/>
          <w:b/>
          <w:bCs/>
          <w:color w:val="000000"/>
          <w:sz w:val="24"/>
          <w:szCs w:val="24"/>
        </w:rPr>
      </w:pPr>
      <w:bookmarkStart w:id="39" w:name="__RefHeading___Toc8602_542869190"/>
      <w:bookmarkEnd w:id="39"/>
      <w:r w:rsidRPr="00242DFB">
        <w:rPr>
          <w:rFonts w:ascii="Arial" w:hAnsi="Arial" w:cs="Arial"/>
          <w:b/>
          <w:bCs/>
          <w:color w:val="000000"/>
          <w:sz w:val="24"/>
          <w:szCs w:val="24"/>
        </w:rPr>
        <w:t>Análisis Capital Salud oportunidad en la asignación de citas médicas</w:t>
      </w:r>
    </w:p>
    <w:p w14:paraId="657374CC" w14:textId="77777777" w:rsidR="00890F98" w:rsidRPr="00242DFB" w:rsidRDefault="00890F98" w:rsidP="0023214B">
      <w:pPr>
        <w:spacing w:line="360" w:lineRule="auto"/>
        <w:jc w:val="both"/>
        <w:rPr>
          <w:rFonts w:ascii="Arial" w:hAnsi="Arial" w:cs="Arial"/>
          <w:color w:val="000000"/>
        </w:rPr>
      </w:pPr>
    </w:p>
    <w:p w14:paraId="0E00CC6B" w14:textId="78D6D9EE" w:rsidR="009F762E" w:rsidRPr="00242DFB" w:rsidRDefault="00000000" w:rsidP="00111247">
      <w:pPr>
        <w:spacing w:line="360" w:lineRule="auto"/>
        <w:jc w:val="both"/>
        <w:rPr>
          <w:rFonts w:ascii="Arial" w:hAnsi="Arial" w:cs="Arial"/>
          <w:color w:val="000000"/>
        </w:rPr>
      </w:pPr>
      <w:r w:rsidRPr="00242DFB">
        <w:rPr>
          <w:rFonts w:ascii="Arial" w:hAnsi="Arial" w:cs="Arial"/>
          <w:color w:val="000000"/>
        </w:rPr>
        <w:t>La información disponible en el informe no incorpora una serie específica de oportunidad en asignación de citas por especialidad, tipo de consulta o red contratada. Por tanto, el análisis de oportunidad se soporta en tres señales indirectas pero consistentes: el comportamiento de PQRS, los motivos de barrera de acceso y los casos GAMA con inoportunidad en referencia, remisión, traslado e interconsulta.</w:t>
      </w:r>
    </w:p>
    <w:p w14:paraId="5EBE10F2" w14:textId="77777777" w:rsidR="00890F98" w:rsidRPr="00242DFB" w:rsidRDefault="00890F98" w:rsidP="0023214B">
      <w:pPr>
        <w:spacing w:line="360" w:lineRule="auto"/>
        <w:jc w:val="both"/>
        <w:rPr>
          <w:rFonts w:ascii="Arial" w:hAnsi="Arial" w:cs="Arial"/>
        </w:rPr>
      </w:pPr>
    </w:p>
    <w:p w14:paraId="4FAEEB61" w14:textId="77777777" w:rsidR="009F762E" w:rsidRPr="00242DFB" w:rsidRDefault="00000000" w:rsidP="00683F80">
      <w:pPr>
        <w:spacing w:line="360" w:lineRule="auto"/>
        <w:jc w:val="both"/>
        <w:rPr>
          <w:rFonts w:ascii="Arial" w:hAnsi="Arial" w:cs="Arial"/>
          <w:color w:val="000000"/>
        </w:rPr>
      </w:pPr>
      <w:r w:rsidRPr="00242DFB">
        <w:rPr>
          <w:rFonts w:ascii="Arial" w:hAnsi="Arial" w:cs="Arial"/>
          <w:color w:val="000000"/>
        </w:rPr>
        <w:t>Durante 2025, la oportunidad de citas en red contratada concentró 53.455 manifestaciones, equivalentes al 66,34% de los principales motivos de PQRS reportados por la entidad. Este resultado ubica la asignación de citas como la principal barrera de acceso identificada por los usuarios y sugiere insuficiencia operativa en la gestión de agenda, disponibilidad de prestadores o articulación entre la EPS y la red contratada.</w:t>
      </w:r>
    </w:p>
    <w:p w14:paraId="7ECF67A9" w14:textId="77777777" w:rsidR="00683F80" w:rsidRPr="00242DFB" w:rsidRDefault="00683F80" w:rsidP="002A0E52">
      <w:pPr>
        <w:spacing w:line="360" w:lineRule="auto"/>
        <w:rPr>
          <w:rFonts w:ascii="Arial" w:hAnsi="Arial" w:cs="Arial"/>
        </w:rPr>
      </w:pPr>
    </w:p>
    <w:p w14:paraId="0488BF29" w14:textId="77777777" w:rsidR="009F762E" w:rsidRPr="00242DFB" w:rsidRDefault="00000000" w:rsidP="00A16D18">
      <w:pPr>
        <w:spacing w:line="360" w:lineRule="auto"/>
        <w:jc w:val="both"/>
        <w:rPr>
          <w:rFonts w:ascii="Arial" w:hAnsi="Arial" w:cs="Arial"/>
        </w:rPr>
      </w:pPr>
      <w:r w:rsidRPr="00242DFB">
        <w:rPr>
          <w:rFonts w:ascii="Arial" w:hAnsi="Arial" w:cs="Arial"/>
          <w:color w:val="000000"/>
        </w:rPr>
        <w:t>La lectura integrada con el seguimiento GAMA evidencia que los problemas de acceso no se limitan al primer contacto ambulatorio, sino que también comprometen la continuidad asistencial en servicios de mayor complejidad. En consecuencia, se recomienda exigir a Capital Salud EPS-S un tablero mensual de oportunidad por especialidad, subred, IPS, régimen y localidad, que incluya tiempos promedio, percentiles, demanda no atendida, agendas abiertas, autorizaciones pendientes y acciones correctivas verificables.</w:t>
      </w:r>
    </w:p>
    <w:p w14:paraId="0D1A2FFC" w14:textId="77777777" w:rsidR="009F762E" w:rsidRPr="00242DFB" w:rsidRDefault="00000000" w:rsidP="00F2026F">
      <w:pPr>
        <w:spacing w:line="360" w:lineRule="auto"/>
        <w:jc w:val="both"/>
        <w:rPr>
          <w:rFonts w:ascii="Arial" w:hAnsi="Arial" w:cs="Arial"/>
        </w:rPr>
      </w:pPr>
      <w:r w:rsidRPr="00242DFB">
        <w:rPr>
          <w:rFonts w:ascii="Arial" w:hAnsi="Arial" w:cs="Arial"/>
          <w:color w:val="000000"/>
        </w:rPr>
        <w:lastRenderedPageBreak/>
        <w:t>Para la versión final del informe, este apartado debe complementarse con la base oficial de oportunidad de citas médicas reportada por Capital Salud EPS-S, discriminando consulta de medicina general, odontología, especialidades básicas, especialidades trazadoras, apoyo diagnóstico y controles de cohortes priorizadas.</w:t>
      </w:r>
    </w:p>
    <w:p w14:paraId="40AF90D7" w14:textId="77777777" w:rsidR="009F762E" w:rsidRPr="00242DFB" w:rsidRDefault="009F762E" w:rsidP="002A0E52">
      <w:pPr>
        <w:shd w:val="clear" w:color="auto" w:fill="FFFFFF"/>
        <w:spacing w:line="360" w:lineRule="auto"/>
        <w:jc w:val="both"/>
        <w:rPr>
          <w:rFonts w:ascii="Arial" w:hAnsi="Arial" w:cs="Arial"/>
          <w:color w:val="000000" w:themeColor="text1"/>
          <w:lang w:eastAsia="es-ES"/>
        </w:rPr>
      </w:pPr>
    </w:p>
    <w:p w14:paraId="040FFDA4" w14:textId="77777777" w:rsidR="009F762E" w:rsidRPr="00242DFB" w:rsidRDefault="00000000" w:rsidP="00D55ABD">
      <w:pPr>
        <w:pStyle w:val="Ttulo1"/>
        <w:numPr>
          <w:ilvl w:val="0"/>
          <w:numId w:val="7"/>
        </w:numPr>
        <w:spacing w:before="0" w:line="360" w:lineRule="auto"/>
        <w:jc w:val="both"/>
        <w:rPr>
          <w:rFonts w:ascii="Arial" w:hAnsi="Arial" w:cs="Arial"/>
          <w:b/>
          <w:bCs/>
          <w:color w:val="000000" w:themeColor="text1"/>
          <w:sz w:val="24"/>
          <w:szCs w:val="24"/>
        </w:rPr>
      </w:pPr>
      <w:bookmarkStart w:id="40" w:name="OLE_LINK12"/>
      <w:bookmarkStart w:id="41" w:name="__RefHeading___Toc8604_542869190"/>
      <w:bookmarkStart w:id="42" w:name="_Toc230853777"/>
      <w:bookmarkEnd w:id="40"/>
      <w:bookmarkEnd w:id="41"/>
      <w:r w:rsidRPr="00242DFB">
        <w:rPr>
          <w:rFonts w:ascii="Arial" w:hAnsi="Arial" w:cs="Arial"/>
          <w:b/>
          <w:bCs/>
          <w:color w:val="000000"/>
          <w:sz w:val="24"/>
          <w:szCs w:val="24"/>
        </w:rPr>
        <w:t>MEDICAMENTOS</w:t>
      </w:r>
      <w:bookmarkEnd w:id="42"/>
    </w:p>
    <w:p w14:paraId="7482202B" w14:textId="77777777" w:rsidR="009F762E" w:rsidRPr="00242DFB" w:rsidRDefault="009F762E" w:rsidP="002A0E52">
      <w:pPr>
        <w:spacing w:line="360" w:lineRule="auto"/>
        <w:jc w:val="both"/>
        <w:rPr>
          <w:rFonts w:ascii="Arial" w:hAnsi="Arial" w:cs="Arial"/>
          <w:color w:val="000000" w:themeColor="text1"/>
        </w:rPr>
      </w:pPr>
    </w:p>
    <w:p w14:paraId="3F18F62D"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La garantía del acceso oportuno, continuo y efectivo a los medicamentos financiados con recursos del Plan de Beneficios en Salud (PBS) constituye uno de los pilares fundamentales para la materialización del derecho fundamental a la salud en Colombia. La Ley Estatutaria 1751 de 2015 reconoce la salud como un derecho autónomo e irrenunciable, cuyo goce efectivo depende, entre otros factores, de la disponibilidad y entrega oportuna de las tecnologías en salud prescritas.</w:t>
      </w:r>
    </w:p>
    <w:p w14:paraId="3BA8ED32"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5AA070A1"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La no entrega oportuna y completa, la entrega parcial tardía o la no entrega de medicamentos generan impactos directos en la salud de los usuarios, particularmente en personas con enfermedades crónicas, de alto costo o condiciones de especial protección constitucional. Adicionalmente, estas fallas se traducen en un aumento de la demanda de servicios de urgencias, hospitalizaciones evitables y un crecimiento sostenido de las Peticiones, Quejas y Reclamos (PQRS), lo que afecta la eficiencia del sistema y la confianza de la ciudadanía en las instituciones.</w:t>
      </w:r>
    </w:p>
    <w:p w14:paraId="580DA5AE"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1E99F235"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Desde esta perspectiva, el seguimiento a la atención en dispensación de medicamentos PBS no constituye únicamente una acción operativa, sino una intervención estratégica de</w:t>
      </w:r>
    </w:p>
    <w:p w14:paraId="12EDA79C"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4243C2AB"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gestión del riesgo en salud, alineada con los principios de accesibilidad, continuidad, oportunidad y calidad definidos en la normativa vigente.</w:t>
      </w:r>
    </w:p>
    <w:p w14:paraId="3C900066"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7B6C2091"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lastRenderedPageBreak/>
        <w:t>La información reportada por la Capital Salud EPS-S, derivada de la operación de los gestores farmacéuticos contratados permite identificar que el principal riesgo se relaciona con el incumplimiento de la entrega completa y oportuna de medicamentos PBS, deficiencia de puntos de dispensación según georeferenciación y población asignada por localidad, fallas en el seguimiento interno y control del proceso de dispensación.</w:t>
      </w:r>
    </w:p>
    <w:p w14:paraId="7E2A60DE"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3AD33124" w14:textId="77777777" w:rsidR="009F762E" w:rsidRPr="00242DFB" w:rsidRDefault="00000000" w:rsidP="002A0E52">
      <w:pPr>
        <w:spacing w:line="360" w:lineRule="auto"/>
        <w:jc w:val="both"/>
        <w:rPr>
          <w:rFonts w:ascii="Arial" w:hAnsi="Arial" w:cs="Arial"/>
          <w:color w:val="000000" w:themeColor="text1"/>
        </w:rPr>
      </w:pPr>
      <w:r w:rsidRPr="00242DFB">
        <w:rPr>
          <w:rFonts w:ascii="Arial" w:hAnsi="Arial" w:cs="Arial"/>
          <w:color w:val="000000"/>
        </w:rPr>
        <w:t>Capital Salud EPS-S dio respuesta al requerimiento No. 026-EE-54444 de la Subdirección de Garantía del Aseguramiento, mediante el cual suministró información sobre red farmacéutica, georreferenciación, cohortes priorizadas e indicadores de dispensación.</w:t>
      </w:r>
    </w:p>
    <w:p w14:paraId="5310FBBB"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4D9623FA" w14:textId="77777777" w:rsidR="009F762E" w:rsidRPr="00242DFB" w:rsidRDefault="00000000" w:rsidP="00136D19">
      <w:pPr>
        <w:pStyle w:val="Ttulo2"/>
        <w:numPr>
          <w:ilvl w:val="1"/>
          <w:numId w:val="7"/>
        </w:numPr>
        <w:spacing w:before="0" w:line="360" w:lineRule="auto"/>
        <w:jc w:val="both"/>
        <w:rPr>
          <w:rFonts w:ascii="Arial" w:hAnsi="Arial" w:cs="Arial"/>
          <w:b/>
          <w:bCs/>
          <w:color w:val="000000"/>
          <w:sz w:val="24"/>
          <w:szCs w:val="24"/>
        </w:rPr>
      </w:pPr>
      <w:bookmarkStart w:id="43" w:name="__RefHeading___Toc8606_542869190"/>
      <w:bookmarkEnd w:id="43"/>
      <w:r w:rsidRPr="00242DFB">
        <w:rPr>
          <w:rFonts w:ascii="Arial" w:hAnsi="Arial" w:cs="Arial"/>
          <w:b/>
          <w:bCs/>
          <w:color w:val="000000"/>
          <w:sz w:val="24"/>
          <w:szCs w:val="24"/>
        </w:rPr>
        <w:t>Análisis de información del servicio farmacéutico aportada por Capital Salud EPS-S</w:t>
      </w:r>
    </w:p>
    <w:p w14:paraId="13EF0F01"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b/>
          <w:bCs/>
          <w:color w:val="000000"/>
        </w:rPr>
        <w:t xml:space="preserve"> </w:t>
      </w:r>
    </w:p>
    <w:p w14:paraId="551F6364" w14:textId="77777777" w:rsidR="009F762E" w:rsidRPr="00242DFB" w:rsidRDefault="00000000" w:rsidP="002A0E52">
      <w:pPr>
        <w:spacing w:line="360" w:lineRule="auto"/>
        <w:jc w:val="both"/>
        <w:rPr>
          <w:rFonts w:ascii="Arial" w:eastAsia="Arial" w:hAnsi="Arial" w:cs="Arial"/>
          <w:color w:val="000000"/>
        </w:rPr>
      </w:pPr>
      <w:r w:rsidRPr="00242DFB">
        <w:rPr>
          <w:rFonts w:ascii="Arial" w:eastAsia="Arial" w:hAnsi="Arial" w:cs="Arial"/>
          <w:color w:val="000000"/>
        </w:rPr>
        <w:t>En el marco de las actividades de inspección, vigilancia y seguimiento, se efectuó el análisis de la información relacionada con la prestación del servicio farmacéutico reportada por Capital Salud EPS-S, con el propósito de evaluar el desempeño de los procesos asociados a la dispensación de medicamentos y verificar su contribución al acceso oportuno, continuo e integral de las tecnologías en salud requeridas por la población afiliada.</w:t>
      </w:r>
    </w:p>
    <w:p w14:paraId="43DD1137" w14:textId="77777777" w:rsidR="007C623F" w:rsidRPr="00242DFB" w:rsidRDefault="007C623F" w:rsidP="002A0E52">
      <w:pPr>
        <w:spacing w:line="360" w:lineRule="auto"/>
        <w:jc w:val="both"/>
        <w:rPr>
          <w:rFonts w:ascii="Arial" w:hAnsi="Arial" w:cs="Arial"/>
          <w:color w:val="000000" w:themeColor="text1"/>
        </w:rPr>
      </w:pPr>
    </w:p>
    <w:p w14:paraId="3034DEDA" w14:textId="77777777" w:rsidR="009F762E" w:rsidRPr="00242DFB" w:rsidRDefault="00000000" w:rsidP="002A0E52">
      <w:pPr>
        <w:spacing w:line="360" w:lineRule="auto"/>
        <w:jc w:val="both"/>
        <w:rPr>
          <w:rFonts w:ascii="Arial" w:eastAsia="Arial" w:hAnsi="Arial" w:cs="Arial"/>
          <w:color w:val="000000"/>
        </w:rPr>
      </w:pPr>
      <w:r w:rsidRPr="00242DFB">
        <w:rPr>
          <w:rFonts w:ascii="Arial" w:eastAsia="Arial" w:hAnsi="Arial" w:cs="Arial"/>
          <w:color w:val="000000"/>
        </w:rPr>
        <w:t>La evaluación comprende el análisis de la capacidad operativa de la red farmacéutica contratada, su distribución territorial y los resultados obtenidos en los indicadores de gestión relacionados con la entrega de medicamentos. De manera particular, se examinan aspectos asociados a la oportunidad en la dispensación, la entrega completa de las fórmulas médicas y los tiempos de espera reportados, con el fin de identificar posibles brechas en la prestación del servicio que puedan generar barreras de acceso, afectar la continuidad de los tratamientos prescritos e impactar negativamente los resultados en salud de la población afiliada.</w:t>
      </w:r>
    </w:p>
    <w:p w14:paraId="3F734891" w14:textId="77777777" w:rsidR="007C623F" w:rsidRPr="00242DFB" w:rsidRDefault="007C623F" w:rsidP="002A0E52">
      <w:pPr>
        <w:spacing w:line="360" w:lineRule="auto"/>
        <w:jc w:val="both"/>
        <w:rPr>
          <w:rFonts w:ascii="Arial" w:hAnsi="Arial" w:cs="Arial"/>
          <w:color w:val="000000" w:themeColor="text1"/>
        </w:rPr>
      </w:pPr>
    </w:p>
    <w:p w14:paraId="77561DC5"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lastRenderedPageBreak/>
        <w:t>Asimismo, el análisis permite determinar la existencia de riesgos operativos derivados de incumplimientos en los procesos de suministro de medicamentos, valorar la efectividad de las estrategias implementadas por la EPS para garantizar la dispensación de medicamentos de forma completa y oportuna.</w:t>
      </w:r>
    </w:p>
    <w:p w14:paraId="3DC100D5"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3049C55E" w14:textId="77777777" w:rsidR="009F762E" w:rsidRPr="00242DFB" w:rsidRDefault="00000000" w:rsidP="002A0E52">
      <w:pPr>
        <w:spacing w:line="360" w:lineRule="auto"/>
        <w:jc w:val="both"/>
        <w:rPr>
          <w:rFonts w:ascii="Arial" w:hAnsi="Arial" w:cs="Arial"/>
          <w:color w:val="000000" w:themeColor="text1"/>
        </w:rPr>
      </w:pPr>
      <w:r w:rsidRPr="00242DFB">
        <w:rPr>
          <w:rFonts w:ascii="Arial" w:hAnsi="Arial" w:cs="Arial"/>
          <w:b/>
          <w:color w:val="000000"/>
        </w:rPr>
        <w:t>Red prestadora – georreferenciación: análisis de puntos de dispensación frente a población asignada por localidad.</w:t>
      </w:r>
    </w:p>
    <w:p w14:paraId="4FAF91A0" w14:textId="75B80EFA" w:rsidR="009F762E" w:rsidRPr="00242DFB" w:rsidRDefault="00000000" w:rsidP="00136D19">
      <w:pPr>
        <w:spacing w:line="360" w:lineRule="auto"/>
        <w:jc w:val="both"/>
        <w:rPr>
          <w:rFonts w:ascii="Arial" w:hAnsi="Arial" w:cs="Arial"/>
          <w:color w:val="000000" w:themeColor="text1"/>
        </w:rPr>
      </w:pPr>
      <w:r w:rsidRPr="00242DFB">
        <w:rPr>
          <w:rFonts w:ascii="Arial" w:eastAsia="Arial" w:hAnsi="Arial" w:cs="Arial"/>
          <w:b/>
          <w:bCs/>
          <w:color w:val="000000"/>
        </w:rPr>
        <w:t xml:space="preserve"> </w:t>
      </w:r>
    </w:p>
    <w:p w14:paraId="3D5B88E1" w14:textId="50FF1C7A" w:rsidR="00136D19" w:rsidRPr="00242DFB" w:rsidRDefault="00136D19" w:rsidP="00136D19">
      <w:pPr>
        <w:pStyle w:val="Descripcin"/>
        <w:keepNext/>
        <w:jc w:val="center"/>
        <w:rPr>
          <w:rFonts w:ascii="Arial" w:hAnsi="Arial" w:cs="Arial"/>
          <w:color w:val="000000" w:themeColor="text1"/>
          <w:sz w:val="24"/>
          <w:szCs w:val="24"/>
        </w:rPr>
      </w:pPr>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18</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Puntos de dispensación por localidad y población asignada, Capital Salud EPS-S</w:t>
      </w:r>
    </w:p>
    <w:tbl>
      <w:tblPr>
        <w:tblW w:w="8004" w:type="dxa"/>
        <w:jc w:val="center"/>
        <w:tblLayout w:type="fixed"/>
        <w:tblCellMar>
          <w:left w:w="70" w:type="dxa"/>
          <w:right w:w="70" w:type="dxa"/>
        </w:tblCellMar>
        <w:tblLook w:val="06A0" w:firstRow="1" w:lastRow="0" w:firstColumn="1" w:lastColumn="0" w:noHBand="1" w:noVBand="1"/>
      </w:tblPr>
      <w:tblGrid>
        <w:gridCol w:w="3261"/>
        <w:gridCol w:w="2882"/>
        <w:gridCol w:w="1861"/>
      </w:tblGrid>
      <w:tr w:rsidR="009F762E" w:rsidRPr="00242DFB" w14:paraId="5F864B06" w14:textId="77777777" w:rsidTr="00136D19">
        <w:trPr>
          <w:cantSplit/>
          <w:trHeight w:val="15"/>
          <w:tblHeader/>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1D72761A"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rPr>
              <w:t>Localidad</w:t>
            </w:r>
          </w:p>
        </w:tc>
        <w:tc>
          <w:tcPr>
            <w:tcW w:w="2882" w:type="dxa"/>
            <w:tcBorders>
              <w:top w:val="single" w:sz="8" w:space="0" w:color="000000"/>
              <w:left w:val="single" w:sz="8" w:space="0" w:color="000000"/>
              <w:bottom w:val="single" w:sz="8" w:space="0" w:color="000000"/>
              <w:right w:val="single" w:sz="8" w:space="0" w:color="000000"/>
            </w:tcBorders>
            <w:vAlign w:val="center"/>
          </w:tcPr>
          <w:p w14:paraId="4B298827" w14:textId="52CE3B38" w:rsidR="009F762E" w:rsidRPr="00242DFB" w:rsidRDefault="00435CD2"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rPr>
              <w:t>Total,</w:t>
            </w:r>
            <w:r w:rsidR="00000000" w:rsidRPr="00242DFB">
              <w:rPr>
                <w:rFonts w:ascii="Arial" w:eastAsia="Arial" w:hAnsi="Arial" w:cs="Arial"/>
                <w:b/>
                <w:bCs/>
                <w:color w:val="000000" w:themeColor="text1"/>
              </w:rPr>
              <w:t xml:space="preserve"> población afiliada por localidad</w:t>
            </w:r>
          </w:p>
        </w:tc>
        <w:tc>
          <w:tcPr>
            <w:tcW w:w="1861" w:type="dxa"/>
            <w:tcBorders>
              <w:top w:val="single" w:sz="8" w:space="0" w:color="000000"/>
              <w:left w:val="single" w:sz="8" w:space="0" w:color="000000"/>
              <w:bottom w:val="single" w:sz="8" w:space="0" w:color="000000"/>
              <w:right w:val="single" w:sz="8" w:space="0" w:color="000000"/>
            </w:tcBorders>
            <w:vAlign w:val="center"/>
          </w:tcPr>
          <w:p w14:paraId="13592FAA"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rPr>
              <w:t>Número de puntos</w:t>
            </w:r>
          </w:p>
        </w:tc>
      </w:tr>
      <w:tr w:rsidR="009F762E" w:rsidRPr="00242DFB" w14:paraId="20C008D2"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3DF8FCD9"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Ciudad Bolivar</w:t>
            </w:r>
          </w:p>
        </w:tc>
        <w:tc>
          <w:tcPr>
            <w:tcW w:w="2882" w:type="dxa"/>
            <w:tcBorders>
              <w:top w:val="single" w:sz="8" w:space="0" w:color="000000"/>
              <w:left w:val="single" w:sz="8" w:space="0" w:color="000000"/>
              <w:bottom w:val="single" w:sz="8" w:space="0" w:color="000000"/>
              <w:right w:val="single" w:sz="8" w:space="0" w:color="000000"/>
            </w:tcBorders>
            <w:vAlign w:val="center"/>
          </w:tcPr>
          <w:p w14:paraId="1408D83E"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123.078</w:t>
            </w:r>
          </w:p>
        </w:tc>
        <w:tc>
          <w:tcPr>
            <w:tcW w:w="1861" w:type="dxa"/>
            <w:tcBorders>
              <w:top w:val="single" w:sz="8" w:space="0" w:color="000000"/>
              <w:left w:val="single" w:sz="8" w:space="0" w:color="000000"/>
              <w:bottom w:val="single" w:sz="8" w:space="0" w:color="000000"/>
              <w:right w:val="single" w:sz="8" w:space="0" w:color="000000"/>
            </w:tcBorders>
            <w:vAlign w:val="center"/>
          </w:tcPr>
          <w:p w14:paraId="325C79F9"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r>
      <w:tr w:rsidR="009F762E" w:rsidRPr="00242DFB" w14:paraId="14C92420"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021F1F15"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Bosa</w:t>
            </w:r>
          </w:p>
        </w:tc>
        <w:tc>
          <w:tcPr>
            <w:tcW w:w="2882" w:type="dxa"/>
            <w:tcBorders>
              <w:top w:val="single" w:sz="8" w:space="0" w:color="000000"/>
              <w:left w:val="single" w:sz="8" w:space="0" w:color="000000"/>
              <w:bottom w:val="single" w:sz="8" w:space="0" w:color="000000"/>
              <w:right w:val="single" w:sz="8" w:space="0" w:color="000000"/>
            </w:tcBorders>
            <w:vAlign w:val="center"/>
          </w:tcPr>
          <w:p w14:paraId="7EF82458"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120.604</w:t>
            </w:r>
          </w:p>
        </w:tc>
        <w:tc>
          <w:tcPr>
            <w:tcW w:w="1861" w:type="dxa"/>
            <w:tcBorders>
              <w:top w:val="single" w:sz="8" w:space="0" w:color="000000"/>
              <w:left w:val="single" w:sz="8" w:space="0" w:color="000000"/>
              <w:bottom w:val="single" w:sz="8" w:space="0" w:color="000000"/>
              <w:right w:val="single" w:sz="8" w:space="0" w:color="000000"/>
            </w:tcBorders>
            <w:vAlign w:val="center"/>
          </w:tcPr>
          <w:p w14:paraId="10973B43"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2</w:t>
            </w:r>
          </w:p>
        </w:tc>
      </w:tr>
      <w:tr w:rsidR="009F762E" w:rsidRPr="00242DFB" w14:paraId="23586586"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037BAE9A"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Kennedy</w:t>
            </w:r>
          </w:p>
        </w:tc>
        <w:tc>
          <w:tcPr>
            <w:tcW w:w="2882" w:type="dxa"/>
            <w:tcBorders>
              <w:top w:val="single" w:sz="8" w:space="0" w:color="000000"/>
              <w:left w:val="single" w:sz="8" w:space="0" w:color="000000"/>
              <w:bottom w:val="single" w:sz="8" w:space="0" w:color="000000"/>
              <w:right w:val="single" w:sz="8" w:space="0" w:color="000000"/>
            </w:tcBorders>
            <w:vAlign w:val="center"/>
          </w:tcPr>
          <w:p w14:paraId="3AE60EA8"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114.588</w:t>
            </w:r>
          </w:p>
        </w:tc>
        <w:tc>
          <w:tcPr>
            <w:tcW w:w="1861" w:type="dxa"/>
            <w:tcBorders>
              <w:top w:val="single" w:sz="8" w:space="0" w:color="000000"/>
              <w:left w:val="single" w:sz="8" w:space="0" w:color="000000"/>
              <w:bottom w:val="single" w:sz="8" w:space="0" w:color="000000"/>
              <w:right w:val="single" w:sz="8" w:space="0" w:color="000000"/>
            </w:tcBorders>
            <w:vAlign w:val="center"/>
          </w:tcPr>
          <w:p w14:paraId="26CD0C2A"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r>
      <w:tr w:rsidR="009F762E" w:rsidRPr="00242DFB" w14:paraId="17F12B52"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113B9D59"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Usme</w:t>
            </w:r>
          </w:p>
        </w:tc>
        <w:tc>
          <w:tcPr>
            <w:tcW w:w="2882" w:type="dxa"/>
            <w:tcBorders>
              <w:top w:val="single" w:sz="8" w:space="0" w:color="000000"/>
              <w:left w:val="single" w:sz="8" w:space="0" w:color="000000"/>
              <w:bottom w:val="single" w:sz="8" w:space="0" w:color="000000"/>
              <w:right w:val="single" w:sz="8" w:space="0" w:color="000000"/>
            </w:tcBorders>
            <w:vAlign w:val="center"/>
          </w:tcPr>
          <w:p w14:paraId="371026BD"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74.636</w:t>
            </w:r>
          </w:p>
        </w:tc>
        <w:tc>
          <w:tcPr>
            <w:tcW w:w="1861" w:type="dxa"/>
            <w:tcBorders>
              <w:top w:val="single" w:sz="8" w:space="0" w:color="000000"/>
              <w:left w:val="single" w:sz="8" w:space="0" w:color="000000"/>
              <w:bottom w:val="single" w:sz="8" w:space="0" w:color="000000"/>
              <w:right w:val="single" w:sz="8" w:space="0" w:color="000000"/>
            </w:tcBorders>
            <w:vAlign w:val="center"/>
          </w:tcPr>
          <w:p w14:paraId="01AAFE79"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r>
      <w:tr w:rsidR="009F762E" w:rsidRPr="00242DFB" w14:paraId="7738B3FA"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1A17A795"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Suba</w:t>
            </w:r>
          </w:p>
        </w:tc>
        <w:tc>
          <w:tcPr>
            <w:tcW w:w="2882" w:type="dxa"/>
            <w:tcBorders>
              <w:top w:val="single" w:sz="8" w:space="0" w:color="000000"/>
              <w:left w:val="single" w:sz="8" w:space="0" w:color="000000"/>
              <w:bottom w:val="single" w:sz="8" w:space="0" w:color="000000"/>
              <w:right w:val="single" w:sz="8" w:space="0" w:color="000000"/>
            </w:tcBorders>
            <w:vAlign w:val="center"/>
          </w:tcPr>
          <w:p w14:paraId="1884D1DA"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70.416</w:t>
            </w:r>
          </w:p>
        </w:tc>
        <w:tc>
          <w:tcPr>
            <w:tcW w:w="1861" w:type="dxa"/>
            <w:tcBorders>
              <w:top w:val="single" w:sz="8" w:space="0" w:color="000000"/>
              <w:left w:val="single" w:sz="8" w:space="0" w:color="000000"/>
              <w:bottom w:val="single" w:sz="8" w:space="0" w:color="000000"/>
              <w:right w:val="single" w:sz="8" w:space="0" w:color="000000"/>
            </w:tcBorders>
            <w:vAlign w:val="center"/>
          </w:tcPr>
          <w:p w14:paraId="3A73600D"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r>
      <w:tr w:rsidR="009F762E" w:rsidRPr="00242DFB" w14:paraId="1B80D3AF"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555D752E"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San Cristobal</w:t>
            </w:r>
          </w:p>
        </w:tc>
        <w:tc>
          <w:tcPr>
            <w:tcW w:w="2882" w:type="dxa"/>
            <w:tcBorders>
              <w:top w:val="single" w:sz="8" w:space="0" w:color="000000"/>
              <w:left w:val="single" w:sz="8" w:space="0" w:color="000000"/>
              <w:bottom w:val="single" w:sz="8" w:space="0" w:color="000000"/>
              <w:right w:val="single" w:sz="8" w:space="0" w:color="000000"/>
            </w:tcBorders>
            <w:vAlign w:val="center"/>
          </w:tcPr>
          <w:p w14:paraId="7D654D2F"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69.259</w:t>
            </w:r>
          </w:p>
        </w:tc>
        <w:tc>
          <w:tcPr>
            <w:tcW w:w="1861" w:type="dxa"/>
            <w:tcBorders>
              <w:top w:val="single" w:sz="8" w:space="0" w:color="000000"/>
              <w:left w:val="single" w:sz="8" w:space="0" w:color="000000"/>
              <w:bottom w:val="single" w:sz="8" w:space="0" w:color="000000"/>
              <w:right w:val="single" w:sz="8" w:space="0" w:color="000000"/>
            </w:tcBorders>
            <w:vAlign w:val="center"/>
          </w:tcPr>
          <w:p w14:paraId="324EFE5C"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r>
      <w:tr w:rsidR="009F762E" w:rsidRPr="00242DFB" w14:paraId="0F5A6921"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3845A642"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Rafael Uribe</w:t>
            </w:r>
          </w:p>
        </w:tc>
        <w:tc>
          <w:tcPr>
            <w:tcW w:w="2882" w:type="dxa"/>
            <w:tcBorders>
              <w:top w:val="single" w:sz="8" w:space="0" w:color="000000"/>
              <w:left w:val="single" w:sz="8" w:space="0" w:color="000000"/>
              <w:bottom w:val="single" w:sz="8" w:space="0" w:color="000000"/>
              <w:right w:val="single" w:sz="8" w:space="0" w:color="000000"/>
            </w:tcBorders>
            <w:vAlign w:val="center"/>
          </w:tcPr>
          <w:p w14:paraId="630808F7"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62.702</w:t>
            </w:r>
          </w:p>
        </w:tc>
        <w:tc>
          <w:tcPr>
            <w:tcW w:w="1861" w:type="dxa"/>
            <w:tcBorders>
              <w:top w:val="single" w:sz="8" w:space="0" w:color="000000"/>
              <w:left w:val="single" w:sz="8" w:space="0" w:color="000000"/>
              <w:bottom w:val="single" w:sz="8" w:space="0" w:color="000000"/>
              <w:right w:val="single" w:sz="8" w:space="0" w:color="000000"/>
            </w:tcBorders>
            <w:vAlign w:val="center"/>
          </w:tcPr>
          <w:p w14:paraId="464CE783"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0</w:t>
            </w:r>
          </w:p>
        </w:tc>
      </w:tr>
      <w:tr w:rsidR="009F762E" w:rsidRPr="00242DFB" w14:paraId="4BB679C9"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1A7FD6FB"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Engativá</w:t>
            </w:r>
          </w:p>
        </w:tc>
        <w:tc>
          <w:tcPr>
            <w:tcW w:w="2882" w:type="dxa"/>
            <w:tcBorders>
              <w:top w:val="single" w:sz="8" w:space="0" w:color="000000"/>
              <w:left w:val="single" w:sz="8" w:space="0" w:color="000000"/>
              <w:bottom w:val="single" w:sz="8" w:space="0" w:color="000000"/>
              <w:right w:val="single" w:sz="8" w:space="0" w:color="000000"/>
            </w:tcBorders>
            <w:vAlign w:val="center"/>
          </w:tcPr>
          <w:p w14:paraId="3567134E"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62.489</w:t>
            </w:r>
          </w:p>
        </w:tc>
        <w:tc>
          <w:tcPr>
            <w:tcW w:w="1861" w:type="dxa"/>
            <w:tcBorders>
              <w:top w:val="single" w:sz="8" w:space="0" w:color="000000"/>
              <w:left w:val="single" w:sz="8" w:space="0" w:color="000000"/>
              <w:bottom w:val="single" w:sz="8" w:space="0" w:color="000000"/>
              <w:right w:val="single" w:sz="8" w:space="0" w:color="000000"/>
            </w:tcBorders>
            <w:vAlign w:val="center"/>
          </w:tcPr>
          <w:p w14:paraId="4E5C730C"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r>
      <w:tr w:rsidR="009F762E" w:rsidRPr="00242DFB" w14:paraId="37A05054"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326AF979"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Santa Fe</w:t>
            </w:r>
          </w:p>
        </w:tc>
        <w:tc>
          <w:tcPr>
            <w:tcW w:w="2882" w:type="dxa"/>
            <w:tcBorders>
              <w:top w:val="single" w:sz="8" w:space="0" w:color="000000"/>
              <w:left w:val="single" w:sz="8" w:space="0" w:color="000000"/>
              <w:bottom w:val="single" w:sz="8" w:space="0" w:color="000000"/>
              <w:right w:val="single" w:sz="8" w:space="0" w:color="000000"/>
            </w:tcBorders>
            <w:vAlign w:val="center"/>
          </w:tcPr>
          <w:p w14:paraId="4CF16E8C"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32.461</w:t>
            </w:r>
          </w:p>
        </w:tc>
        <w:tc>
          <w:tcPr>
            <w:tcW w:w="1861" w:type="dxa"/>
            <w:tcBorders>
              <w:top w:val="single" w:sz="8" w:space="0" w:color="000000"/>
              <w:left w:val="single" w:sz="8" w:space="0" w:color="000000"/>
              <w:bottom w:val="single" w:sz="8" w:space="0" w:color="000000"/>
              <w:right w:val="single" w:sz="8" w:space="0" w:color="000000"/>
            </w:tcBorders>
            <w:vAlign w:val="center"/>
          </w:tcPr>
          <w:p w14:paraId="652AD7A9"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0</w:t>
            </w:r>
          </w:p>
        </w:tc>
      </w:tr>
      <w:tr w:rsidR="009F762E" w:rsidRPr="00242DFB" w14:paraId="189A4789"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1C366981"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Tunjuelito</w:t>
            </w:r>
          </w:p>
        </w:tc>
        <w:tc>
          <w:tcPr>
            <w:tcW w:w="2882" w:type="dxa"/>
            <w:tcBorders>
              <w:top w:val="single" w:sz="8" w:space="0" w:color="000000"/>
              <w:left w:val="single" w:sz="8" w:space="0" w:color="000000"/>
              <w:bottom w:val="single" w:sz="8" w:space="0" w:color="000000"/>
              <w:right w:val="single" w:sz="8" w:space="0" w:color="000000"/>
            </w:tcBorders>
            <w:vAlign w:val="center"/>
          </w:tcPr>
          <w:p w14:paraId="6E7A3C2C"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28.718</w:t>
            </w:r>
          </w:p>
        </w:tc>
        <w:tc>
          <w:tcPr>
            <w:tcW w:w="1861" w:type="dxa"/>
            <w:tcBorders>
              <w:top w:val="single" w:sz="8" w:space="0" w:color="000000"/>
              <w:left w:val="single" w:sz="8" w:space="0" w:color="000000"/>
              <w:bottom w:val="single" w:sz="8" w:space="0" w:color="000000"/>
              <w:right w:val="single" w:sz="8" w:space="0" w:color="000000"/>
            </w:tcBorders>
            <w:vAlign w:val="center"/>
          </w:tcPr>
          <w:p w14:paraId="62635AAB"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r>
      <w:tr w:rsidR="009F762E" w:rsidRPr="00242DFB" w14:paraId="4EDAA432"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71B71E72"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Usaquén</w:t>
            </w:r>
          </w:p>
        </w:tc>
        <w:tc>
          <w:tcPr>
            <w:tcW w:w="2882" w:type="dxa"/>
            <w:tcBorders>
              <w:top w:val="single" w:sz="8" w:space="0" w:color="000000"/>
              <w:left w:val="single" w:sz="8" w:space="0" w:color="000000"/>
              <w:bottom w:val="single" w:sz="8" w:space="0" w:color="000000"/>
              <w:right w:val="single" w:sz="8" w:space="0" w:color="000000"/>
            </w:tcBorders>
            <w:vAlign w:val="center"/>
          </w:tcPr>
          <w:p w14:paraId="1917E6CA"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28.413</w:t>
            </w:r>
          </w:p>
        </w:tc>
        <w:tc>
          <w:tcPr>
            <w:tcW w:w="1861" w:type="dxa"/>
            <w:tcBorders>
              <w:top w:val="single" w:sz="8" w:space="0" w:color="000000"/>
              <w:left w:val="single" w:sz="8" w:space="0" w:color="000000"/>
              <w:bottom w:val="single" w:sz="8" w:space="0" w:color="000000"/>
              <w:right w:val="single" w:sz="8" w:space="0" w:color="000000"/>
            </w:tcBorders>
            <w:vAlign w:val="center"/>
          </w:tcPr>
          <w:p w14:paraId="44FD9219"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0</w:t>
            </w:r>
          </w:p>
        </w:tc>
      </w:tr>
      <w:tr w:rsidR="009F762E" w:rsidRPr="00242DFB" w14:paraId="5C8E92A4"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34D9E735"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Fontibón</w:t>
            </w:r>
          </w:p>
        </w:tc>
        <w:tc>
          <w:tcPr>
            <w:tcW w:w="2882" w:type="dxa"/>
            <w:tcBorders>
              <w:top w:val="single" w:sz="8" w:space="0" w:color="000000"/>
              <w:left w:val="single" w:sz="8" w:space="0" w:color="000000"/>
              <w:bottom w:val="single" w:sz="8" w:space="0" w:color="000000"/>
              <w:right w:val="single" w:sz="8" w:space="0" w:color="000000"/>
            </w:tcBorders>
            <w:vAlign w:val="center"/>
          </w:tcPr>
          <w:p w14:paraId="2687BC50"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22.897</w:t>
            </w:r>
          </w:p>
        </w:tc>
        <w:tc>
          <w:tcPr>
            <w:tcW w:w="1861" w:type="dxa"/>
            <w:tcBorders>
              <w:top w:val="single" w:sz="8" w:space="0" w:color="000000"/>
              <w:left w:val="single" w:sz="8" w:space="0" w:color="000000"/>
              <w:bottom w:val="single" w:sz="8" w:space="0" w:color="000000"/>
              <w:right w:val="single" w:sz="8" w:space="0" w:color="000000"/>
            </w:tcBorders>
            <w:vAlign w:val="center"/>
          </w:tcPr>
          <w:p w14:paraId="40501DA8"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r>
      <w:tr w:rsidR="009F762E" w:rsidRPr="00242DFB" w14:paraId="55399D69"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649C8AE6"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Puente Aranda</w:t>
            </w:r>
          </w:p>
        </w:tc>
        <w:tc>
          <w:tcPr>
            <w:tcW w:w="2882" w:type="dxa"/>
            <w:tcBorders>
              <w:top w:val="single" w:sz="8" w:space="0" w:color="000000"/>
              <w:left w:val="single" w:sz="8" w:space="0" w:color="000000"/>
              <w:bottom w:val="single" w:sz="8" w:space="0" w:color="000000"/>
              <w:right w:val="single" w:sz="8" w:space="0" w:color="000000"/>
            </w:tcBorders>
            <w:vAlign w:val="center"/>
          </w:tcPr>
          <w:p w14:paraId="648973EB"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20.505</w:t>
            </w:r>
          </w:p>
        </w:tc>
        <w:tc>
          <w:tcPr>
            <w:tcW w:w="1861" w:type="dxa"/>
            <w:tcBorders>
              <w:top w:val="single" w:sz="8" w:space="0" w:color="000000"/>
              <w:left w:val="single" w:sz="8" w:space="0" w:color="000000"/>
              <w:bottom w:val="single" w:sz="8" w:space="0" w:color="000000"/>
              <w:right w:val="single" w:sz="8" w:space="0" w:color="000000"/>
            </w:tcBorders>
            <w:vAlign w:val="center"/>
          </w:tcPr>
          <w:p w14:paraId="0830DA76"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0</w:t>
            </w:r>
          </w:p>
        </w:tc>
      </w:tr>
      <w:tr w:rsidR="009F762E" w:rsidRPr="00242DFB" w14:paraId="780B9E30"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1E5895FF"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Mártires</w:t>
            </w:r>
          </w:p>
        </w:tc>
        <w:tc>
          <w:tcPr>
            <w:tcW w:w="2882" w:type="dxa"/>
            <w:tcBorders>
              <w:top w:val="single" w:sz="8" w:space="0" w:color="000000"/>
              <w:left w:val="single" w:sz="8" w:space="0" w:color="000000"/>
              <w:bottom w:val="single" w:sz="8" w:space="0" w:color="000000"/>
              <w:right w:val="single" w:sz="8" w:space="0" w:color="000000"/>
            </w:tcBorders>
            <w:vAlign w:val="center"/>
          </w:tcPr>
          <w:p w14:paraId="477F0ABD"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19.635</w:t>
            </w:r>
          </w:p>
        </w:tc>
        <w:tc>
          <w:tcPr>
            <w:tcW w:w="1861" w:type="dxa"/>
            <w:tcBorders>
              <w:top w:val="single" w:sz="8" w:space="0" w:color="000000"/>
              <w:left w:val="single" w:sz="8" w:space="0" w:color="000000"/>
              <w:bottom w:val="single" w:sz="8" w:space="0" w:color="000000"/>
              <w:right w:val="single" w:sz="8" w:space="0" w:color="000000"/>
            </w:tcBorders>
            <w:vAlign w:val="center"/>
          </w:tcPr>
          <w:p w14:paraId="6FCBC9DA"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0</w:t>
            </w:r>
          </w:p>
        </w:tc>
      </w:tr>
      <w:tr w:rsidR="009F762E" w:rsidRPr="00242DFB" w14:paraId="49353711"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70C08A26"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Barrios Unidos</w:t>
            </w:r>
          </w:p>
        </w:tc>
        <w:tc>
          <w:tcPr>
            <w:tcW w:w="2882" w:type="dxa"/>
            <w:tcBorders>
              <w:top w:val="single" w:sz="8" w:space="0" w:color="000000"/>
              <w:left w:val="single" w:sz="8" w:space="0" w:color="000000"/>
              <w:bottom w:val="single" w:sz="8" w:space="0" w:color="000000"/>
              <w:right w:val="single" w:sz="8" w:space="0" w:color="000000"/>
            </w:tcBorders>
            <w:vAlign w:val="center"/>
          </w:tcPr>
          <w:p w14:paraId="2580D79B"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13.055</w:t>
            </w:r>
          </w:p>
        </w:tc>
        <w:tc>
          <w:tcPr>
            <w:tcW w:w="1861" w:type="dxa"/>
            <w:tcBorders>
              <w:top w:val="single" w:sz="8" w:space="0" w:color="000000"/>
              <w:left w:val="single" w:sz="8" w:space="0" w:color="000000"/>
              <w:bottom w:val="single" w:sz="8" w:space="0" w:color="000000"/>
              <w:right w:val="single" w:sz="8" w:space="0" w:color="000000"/>
            </w:tcBorders>
            <w:vAlign w:val="center"/>
          </w:tcPr>
          <w:p w14:paraId="5ADC1C44"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2</w:t>
            </w:r>
          </w:p>
        </w:tc>
      </w:tr>
      <w:tr w:rsidR="009F762E" w:rsidRPr="00242DFB" w14:paraId="1AFDA6C4"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198E6344"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Antonio Nariño</w:t>
            </w:r>
          </w:p>
        </w:tc>
        <w:tc>
          <w:tcPr>
            <w:tcW w:w="2882" w:type="dxa"/>
            <w:tcBorders>
              <w:top w:val="single" w:sz="8" w:space="0" w:color="000000"/>
              <w:left w:val="single" w:sz="8" w:space="0" w:color="000000"/>
              <w:bottom w:val="single" w:sz="8" w:space="0" w:color="000000"/>
              <w:right w:val="single" w:sz="8" w:space="0" w:color="000000"/>
            </w:tcBorders>
            <w:vAlign w:val="center"/>
          </w:tcPr>
          <w:p w14:paraId="0682E440"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10.958</w:t>
            </w:r>
          </w:p>
        </w:tc>
        <w:tc>
          <w:tcPr>
            <w:tcW w:w="1861" w:type="dxa"/>
            <w:tcBorders>
              <w:top w:val="single" w:sz="8" w:space="0" w:color="000000"/>
              <w:left w:val="single" w:sz="8" w:space="0" w:color="000000"/>
              <w:bottom w:val="single" w:sz="8" w:space="0" w:color="000000"/>
              <w:right w:val="single" w:sz="8" w:space="0" w:color="000000"/>
            </w:tcBorders>
            <w:vAlign w:val="center"/>
          </w:tcPr>
          <w:p w14:paraId="667B15BB"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r>
      <w:tr w:rsidR="009F762E" w:rsidRPr="00242DFB" w14:paraId="5464A26D"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0FF35C09"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Chapinero</w:t>
            </w:r>
          </w:p>
        </w:tc>
        <w:tc>
          <w:tcPr>
            <w:tcW w:w="2882" w:type="dxa"/>
            <w:tcBorders>
              <w:top w:val="single" w:sz="8" w:space="0" w:color="000000"/>
              <w:left w:val="single" w:sz="8" w:space="0" w:color="000000"/>
              <w:bottom w:val="single" w:sz="8" w:space="0" w:color="000000"/>
              <w:right w:val="single" w:sz="8" w:space="0" w:color="000000"/>
            </w:tcBorders>
            <w:vAlign w:val="center"/>
          </w:tcPr>
          <w:p w14:paraId="061E8CE8"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9.785</w:t>
            </w:r>
          </w:p>
        </w:tc>
        <w:tc>
          <w:tcPr>
            <w:tcW w:w="1861" w:type="dxa"/>
            <w:tcBorders>
              <w:top w:val="single" w:sz="8" w:space="0" w:color="000000"/>
              <w:left w:val="single" w:sz="8" w:space="0" w:color="000000"/>
              <w:bottom w:val="single" w:sz="8" w:space="0" w:color="000000"/>
              <w:right w:val="single" w:sz="8" w:space="0" w:color="000000"/>
            </w:tcBorders>
            <w:vAlign w:val="center"/>
          </w:tcPr>
          <w:p w14:paraId="5D104645"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r>
      <w:tr w:rsidR="009F762E" w:rsidRPr="00242DFB" w14:paraId="4AF0EC72"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33B815E0"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Teusaquillo</w:t>
            </w:r>
          </w:p>
        </w:tc>
        <w:tc>
          <w:tcPr>
            <w:tcW w:w="2882" w:type="dxa"/>
            <w:tcBorders>
              <w:top w:val="single" w:sz="8" w:space="0" w:color="000000"/>
              <w:left w:val="single" w:sz="8" w:space="0" w:color="000000"/>
              <w:bottom w:val="single" w:sz="8" w:space="0" w:color="000000"/>
              <w:right w:val="single" w:sz="8" w:space="0" w:color="000000"/>
            </w:tcBorders>
            <w:vAlign w:val="center"/>
          </w:tcPr>
          <w:p w14:paraId="382C09E4"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6.952</w:t>
            </w:r>
          </w:p>
        </w:tc>
        <w:tc>
          <w:tcPr>
            <w:tcW w:w="1861" w:type="dxa"/>
            <w:tcBorders>
              <w:top w:val="single" w:sz="8" w:space="0" w:color="000000"/>
              <w:left w:val="single" w:sz="8" w:space="0" w:color="000000"/>
              <w:bottom w:val="single" w:sz="8" w:space="0" w:color="000000"/>
              <w:right w:val="single" w:sz="8" w:space="0" w:color="000000"/>
            </w:tcBorders>
            <w:vAlign w:val="center"/>
          </w:tcPr>
          <w:p w14:paraId="0C844FAA"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0</w:t>
            </w:r>
          </w:p>
        </w:tc>
      </w:tr>
      <w:tr w:rsidR="009F762E" w:rsidRPr="00242DFB" w14:paraId="371CA4D4"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17ABBA64"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lastRenderedPageBreak/>
              <w:t>Candelaria</w:t>
            </w:r>
          </w:p>
        </w:tc>
        <w:tc>
          <w:tcPr>
            <w:tcW w:w="2882" w:type="dxa"/>
            <w:tcBorders>
              <w:top w:val="single" w:sz="8" w:space="0" w:color="000000"/>
              <w:left w:val="single" w:sz="8" w:space="0" w:color="000000"/>
              <w:bottom w:val="single" w:sz="8" w:space="0" w:color="000000"/>
              <w:right w:val="single" w:sz="8" w:space="0" w:color="000000"/>
            </w:tcBorders>
            <w:vAlign w:val="center"/>
          </w:tcPr>
          <w:p w14:paraId="321A542A"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5.567</w:t>
            </w:r>
          </w:p>
        </w:tc>
        <w:tc>
          <w:tcPr>
            <w:tcW w:w="1861" w:type="dxa"/>
            <w:tcBorders>
              <w:top w:val="single" w:sz="8" w:space="0" w:color="000000"/>
              <w:left w:val="single" w:sz="8" w:space="0" w:color="000000"/>
              <w:bottom w:val="single" w:sz="8" w:space="0" w:color="000000"/>
              <w:right w:val="single" w:sz="8" w:space="0" w:color="000000"/>
            </w:tcBorders>
            <w:vAlign w:val="center"/>
          </w:tcPr>
          <w:p w14:paraId="371B8DD3"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0</w:t>
            </w:r>
          </w:p>
        </w:tc>
      </w:tr>
      <w:tr w:rsidR="009F762E" w:rsidRPr="00242DFB" w14:paraId="08BCBB35"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60EC364D"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rPr>
              <w:t>Sumapaz</w:t>
            </w:r>
          </w:p>
        </w:tc>
        <w:tc>
          <w:tcPr>
            <w:tcW w:w="2882" w:type="dxa"/>
            <w:tcBorders>
              <w:top w:val="single" w:sz="8" w:space="0" w:color="000000"/>
              <w:left w:val="single" w:sz="8" w:space="0" w:color="000000"/>
              <w:bottom w:val="single" w:sz="8" w:space="0" w:color="000000"/>
              <w:right w:val="single" w:sz="8" w:space="0" w:color="000000"/>
            </w:tcBorders>
            <w:vAlign w:val="center"/>
          </w:tcPr>
          <w:p w14:paraId="60EC0748"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1.391</w:t>
            </w:r>
          </w:p>
        </w:tc>
        <w:tc>
          <w:tcPr>
            <w:tcW w:w="1861" w:type="dxa"/>
            <w:tcBorders>
              <w:top w:val="single" w:sz="8" w:space="0" w:color="000000"/>
              <w:left w:val="single" w:sz="8" w:space="0" w:color="000000"/>
              <w:bottom w:val="single" w:sz="8" w:space="0" w:color="000000"/>
              <w:right w:val="single" w:sz="8" w:space="0" w:color="000000"/>
            </w:tcBorders>
            <w:vAlign w:val="center"/>
          </w:tcPr>
          <w:p w14:paraId="59E030CB"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0</w:t>
            </w:r>
          </w:p>
        </w:tc>
      </w:tr>
      <w:tr w:rsidR="009F762E" w:rsidRPr="00242DFB" w14:paraId="2E5300D6"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4B66A377"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b/>
                <w:bCs/>
                <w:color w:val="000000" w:themeColor="text1"/>
              </w:rPr>
              <w:t>TOTAL</w:t>
            </w:r>
          </w:p>
        </w:tc>
        <w:tc>
          <w:tcPr>
            <w:tcW w:w="2882" w:type="dxa"/>
            <w:tcBorders>
              <w:top w:val="single" w:sz="8" w:space="0" w:color="000000"/>
              <w:left w:val="single" w:sz="8" w:space="0" w:color="000000"/>
              <w:bottom w:val="single" w:sz="8" w:space="0" w:color="000000"/>
              <w:right w:val="single" w:sz="8" w:space="0" w:color="000000"/>
            </w:tcBorders>
            <w:vAlign w:val="center"/>
          </w:tcPr>
          <w:p w14:paraId="3B99E373"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rPr>
              <w:t>898.109</w:t>
            </w:r>
          </w:p>
        </w:tc>
        <w:tc>
          <w:tcPr>
            <w:tcW w:w="1861" w:type="dxa"/>
            <w:tcBorders>
              <w:top w:val="single" w:sz="8" w:space="0" w:color="000000"/>
              <w:left w:val="single" w:sz="8" w:space="0" w:color="000000"/>
              <w:bottom w:val="single" w:sz="8" w:space="0" w:color="000000"/>
              <w:right w:val="single" w:sz="8" w:space="0" w:color="000000"/>
            </w:tcBorders>
            <w:vAlign w:val="center"/>
          </w:tcPr>
          <w:p w14:paraId="19B776BD"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rPr>
              <w:t>14</w:t>
            </w:r>
          </w:p>
        </w:tc>
      </w:tr>
    </w:tbl>
    <w:p w14:paraId="4153D2DB" w14:textId="77777777" w:rsidR="009F762E" w:rsidRPr="00242DFB" w:rsidRDefault="00000000" w:rsidP="002A0E52">
      <w:pPr>
        <w:spacing w:line="360" w:lineRule="auto"/>
        <w:jc w:val="both"/>
        <w:rPr>
          <w:rFonts w:ascii="Arial" w:hAnsi="Arial" w:cs="Arial"/>
          <w:color w:val="000000" w:themeColor="text1"/>
          <w:sz w:val="16"/>
          <w:szCs w:val="16"/>
        </w:rPr>
      </w:pPr>
      <w:r w:rsidRPr="00242DFB">
        <w:rPr>
          <w:rFonts w:ascii="Arial" w:eastAsia="Arial" w:hAnsi="Arial" w:cs="Arial"/>
          <w:color w:val="000000"/>
          <w:sz w:val="16"/>
          <w:szCs w:val="16"/>
        </w:rPr>
        <w:t>Fuente Capital Salud EPS-S: Respuesta al requerimiento No. 026-EE-54444 de la Subdirección de Garantía del Aseguramiento, mediante la cual se remite información de la Red Prestadora por Georeferenciación (Afiliados Corte 30-04-2026 Sin incluir los registros en portabilidad información).</w:t>
      </w:r>
    </w:p>
    <w:p w14:paraId="47CCEF7A" w14:textId="77777777" w:rsidR="009F762E" w:rsidRPr="00242DFB" w:rsidRDefault="00000000" w:rsidP="002A0E52">
      <w:pPr>
        <w:spacing w:line="360" w:lineRule="auto"/>
        <w:ind w:left="1342" w:right="1338"/>
        <w:jc w:val="center"/>
        <w:rPr>
          <w:rFonts w:ascii="Arial" w:hAnsi="Arial" w:cs="Arial"/>
          <w:color w:val="000000" w:themeColor="text1"/>
        </w:rPr>
      </w:pPr>
      <w:r w:rsidRPr="00242DFB">
        <w:rPr>
          <w:rFonts w:ascii="Arial" w:eastAsia="Arial" w:hAnsi="Arial" w:cs="Arial"/>
          <w:color w:val="000000"/>
        </w:rPr>
        <w:t xml:space="preserve"> </w:t>
      </w:r>
    </w:p>
    <w:p w14:paraId="144CDA9A" w14:textId="6B2506BF"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La Tabla 1</w:t>
      </w:r>
      <w:r w:rsidR="00136D19" w:rsidRPr="00242DFB">
        <w:rPr>
          <w:rFonts w:ascii="Arial" w:eastAsia="Arial" w:hAnsi="Arial" w:cs="Arial"/>
          <w:color w:val="000000"/>
        </w:rPr>
        <w:t>6</w:t>
      </w:r>
      <w:r w:rsidRPr="00242DFB">
        <w:rPr>
          <w:rFonts w:ascii="Arial" w:eastAsia="Arial" w:hAnsi="Arial" w:cs="Arial"/>
          <w:color w:val="000000"/>
        </w:rPr>
        <w:t xml:space="preserve"> muestra que la red farmacéutica de Capital Salud EPS-S cuenta con 14 puntos de dispensación para atender una población asignada de 898.109 afiliados con corte al 30 de abril de 2026 (sin incluir registros en portabilidad, según información suministrada por la EPS), lo que representa un promedio aproximado de 64.151 usuarios por punto de atención. No obstante, al analizar la distribución territorial de la población afiliada y la oferta disponible, se evidencian diferencias significativas entre localidades.</w:t>
      </w:r>
    </w:p>
    <w:p w14:paraId="636AF692"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19823AD3"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En este sentido, Ciudad Bolívar registra la mayor carga poblacional con 123.078 afiliados atendidos por un único punto de dispensación, seguida por Bosa con 120.604 usuarios, Kennedy con 114.588, Suba con 70.416, San Cristóbal con 69.259 y Engativá con 62.489 afiliados, todas ellas con un solo establecimiento de dispensación asignado. Esta situación refleja una alta concentración de demanda sobre un número limitado de puntos de atención, lo que podría afectar la capacidad operativa de la red y generar mayores tiempos de espera, congestión en la prestación del servicio y desplazamientos más extensos para los usuarios que requieren acceder a medicamentos y demás tecnologías en salud.</w:t>
      </w:r>
    </w:p>
    <w:p w14:paraId="341766D4" w14:textId="77777777" w:rsidR="009F762E" w:rsidRPr="00242DFB" w:rsidRDefault="009F762E" w:rsidP="002A0E52">
      <w:pPr>
        <w:spacing w:line="360" w:lineRule="auto"/>
        <w:jc w:val="both"/>
        <w:rPr>
          <w:rFonts w:ascii="Arial" w:hAnsi="Arial" w:cs="Arial"/>
          <w:color w:val="000000" w:themeColor="text1"/>
        </w:rPr>
      </w:pPr>
    </w:p>
    <w:p w14:paraId="00D09302"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Adicionalmente, se observa que las localidades de Rafael Uribe Uribe, con 62.702 afiliados; Santa Fe, con 32.461; Usaquén, con 28.413; Puente Aranda, con 20.505; y Los Mártires, con 19.635 usuarios asignados, no cuentan con puntos de dispensación contratados dentro de su territorio. Esta condición implica que la población residente debe desplazarse hacia otras localidades para acceder al </w:t>
      </w:r>
      <w:r w:rsidRPr="00242DFB">
        <w:rPr>
          <w:rFonts w:ascii="Arial" w:eastAsia="Arial" w:hAnsi="Arial" w:cs="Arial"/>
          <w:color w:val="000000"/>
        </w:rPr>
        <w:lastRenderedPageBreak/>
        <w:t>servicio farmacéutico, incrementando la presión sobre los puntos receptores y configurando potenciales barreros geográficos de acceso.</w:t>
      </w:r>
    </w:p>
    <w:p w14:paraId="5CA46BD9"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2ACA3F8C"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En contraste, la localidad de Barrios Unidos concentra 13.055 afiliados y dispone de dos puntos de dispensación, equivalente a una relación aproximada de 6.527 usuarios por punto. Esta situación evidencia una mayor disponibilidad relativa de oferta farmacéutica frente a la población asignada, lo que sugiere una distribución desigual de la capacidad instalada de la red y posibles oportunidades de optimización en función de la densidad poblacional y la demanda esperada de los servicios farmacéuticos.</w:t>
      </w:r>
    </w:p>
    <w:p w14:paraId="2BF4A963"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64131866"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La evaluación realizada evidencia desequilibrios en la distribución territorial de la red farmacéutica, al observarse diferencias entre la oferta disponible y la concentración de afiliados en algunas localidades, lo que podría generar limitaciones en el acceso oportuno a los servicios de dispensación. Particularmente, se identifican localidades con alta concentración de población afiliada y una oferta limitada de puntos de atención, así como territorios que no cuentan con servicios de dispensación dentro de su jurisdicción, situación que podría incrementar los tiempos y distancias de desplazamiento requeridos para acceder a medicamentos y demás tecnologías en salud.</w:t>
      </w:r>
    </w:p>
    <w:p w14:paraId="4B9BEE4D" w14:textId="77777777" w:rsidR="009F762E" w:rsidRPr="00242DFB" w:rsidRDefault="009F762E" w:rsidP="002A0E52">
      <w:pPr>
        <w:spacing w:line="360" w:lineRule="auto"/>
        <w:jc w:val="both"/>
        <w:rPr>
          <w:rFonts w:ascii="Arial" w:hAnsi="Arial" w:cs="Arial"/>
          <w:color w:val="000000" w:themeColor="text1"/>
        </w:rPr>
      </w:pPr>
    </w:p>
    <w:p w14:paraId="3811D35E"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En consecuencia, resulta pertinente que la EPS evalúe la suficiencia y ubicación de la red farmacéutica contratada, con el fin de determinar si su capacidad de respuesta se encuentra alineada con la distribución de la población afiliada y las necesidades de atención identificadas. </w:t>
      </w:r>
      <w:bookmarkStart w:id="44" w:name="_Int_R5vKrxbq"/>
      <w:r w:rsidRPr="00242DFB">
        <w:rPr>
          <w:rFonts w:ascii="Arial" w:eastAsia="Arial" w:hAnsi="Arial" w:cs="Arial"/>
          <w:color w:val="000000"/>
        </w:rPr>
        <w:t>Asimismo, se considera necesario complementar este análisis con información relacionada con capacidad instalada, volumen de dispensación, tiempos efectivos de atención, demanda atendida y criterios de accesibilidad geográfica, que permitan valorar de manera integral la oportunidad y disponibilidad del servicio farmacéutico.</w:t>
      </w:r>
      <w:bookmarkEnd w:id="44"/>
    </w:p>
    <w:p w14:paraId="1EE69D5C"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102F8E98" w14:textId="44E8C052" w:rsidR="009F762E" w:rsidRPr="00242DFB" w:rsidRDefault="00435CD2" w:rsidP="002A0E52">
      <w:pPr>
        <w:spacing w:line="360" w:lineRule="auto"/>
        <w:jc w:val="center"/>
        <w:rPr>
          <w:rFonts w:ascii="Arial" w:eastAsia="Arial" w:hAnsi="Arial" w:cs="Arial"/>
          <w:color w:val="000000" w:themeColor="text1"/>
        </w:rPr>
      </w:pPr>
      <w:r w:rsidRPr="00242DFB">
        <w:rPr>
          <w:rFonts w:ascii="Arial" w:hAnsi="Arial" w:cs="Arial"/>
          <w:noProof/>
          <w:color w:val="000000"/>
        </w:rPr>
        <w:lastRenderedPageBreak/>
        <w:drawing>
          <wp:anchor distT="0" distB="0" distL="114300" distR="114300" simplePos="0" relativeHeight="251664896" behindDoc="0" locked="0" layoutInCell="1" allowOverlap="1" wp14:anchorId="3BEA2528" wp14:editId="60C91435">
            <wp:simplePos x="0" y="0"/>
            <wp:positionH relativeFrom="column">
              <wp:posOffset>-699135</wp:posOffset>
            </wp:positionH>
            <wp:positionV relativeFrom="paragraph">
              <wp:posOffset>521970</wp:posOffset>
            </wp:positionV>
            <wp:extent cx="7162800" cy="4258310"/>
            <wp:effectExtent l="0" t="0" r="0" b="8890"/>
            <wp:wrapSquare wrapText="bothSides"/>
            <wp:docPr id="6"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14:sizeRelH relativeFrom="margin">
              <wp14:pctWidth>0</wp14:pctWidth>
            </wp14:sizeRelH>
            <wp14:sizeRelV relativeFrom="margin">
              <wp14:pctHeight>0</wp14:pctHeight>
            </wp14:sizeRelV>
          </wp:anchor>
        </w:drawing>
      </w:r>
      <w:r w:rsidRPr="00242DFB">
        <w:rPr>
          <w:rFonts w:ascii="Arial" w:hAnsi="Arial" w:cs="Arial"/>
          <w:noProof/>
        </w:rPr>
        <mc:AlternateContent>
          <mc:Choice Requires="wps">
            <w:drawing>
              <wp:anchor distT="0" distB="0" distL="114300" distR="114300" simplePos="0" relativeHeight="251666944" behindDoc="0" locked="0" layoutInCell="1" allowOverlap="1" wp14:anchorId="3D1BED00" wp14:editId="6122199F">
                <wp:simplePos x="0" y="0"/>
                <wp:positionH relativeFrom="column">
                  <wp:posOffset>-699135</wp:posOffset>
                </wp:positionH>
                <wp:positionV relativeFrom="paragraph">
                  <wp:posOffset>64770</wp:posOffset>
                </wp:positionV>
                <wp:extent cx="7162800" cy="457200"/>
                <wp:effectExtent l="0" t="0" r="0" b="0"/>
                <wp:wrapSquare wrapText="bothSides"/>
                <wp:docPr id="18" name="Cuadro de texto 18"/>
                <wp:cNvGraphicFramePr/>
                <a:graphic xmlns:a="http://schemas.openxmlformats.org/drawingml/2006/main">
                  <a:graphicData uri="http://schemas.microsoft.com/office/word/2010/wordprocessingShape">
                    <wps:wsp>
                      <wps:cNvSpPr txBox="1"/>
                      <wps:spPr>
                        <a:xfrm>
                          <a:off x="0" y="0"/>
                          <a:ext cx="7162800" cy="457200"/>
                        </a:xfrm>
                        <a:prstGeom prst="rect">
                          <a:avLst/>
                        </a:prstGeom>
                        <a:solidFill>
                          <a:prstClr val="white"/>
                        </a:solidFill>
                        <a:ln>
                          <a:noFill/>
                        </a:ln>
                      </wps:spPr>
                      <wps:txbx>
                        <w:txbxContent>
                          <w:p w14:paraId="7617895E" w14:textId="6D572295" w:rsidR="00435CD2" w:rsidRPr="00435CD2" w:rsidRDefault="00435CD2" w:rsidP="00435CD2">
                            <w:pPr>
                              <w:pStyle w:val="Descripcin"/>
                              <w:jc w:val="center"/>
                              <w:rPr>
                                <w:rFonts w:ascii="Arial" w:hAnsi="Arial" w:cs="Arial"/>
                                <w:noProof/>
                                <w:color w:val="000000" w:themeColor="text1"/>
                                <w:sz w:val="24"/>
                                <w:szCs w:val="24"/>
                              </w:rPr>
                            </w:pPr>
                            <w:r w:rsidRPr="00435CD2">
                              <w:rPr>
                                <w:rFonts w:ascii="Arial" w:hAnsi="Arial" w:cs="Arial"/>
                                <w:color w:val="000000" w:themeColor="text1"/>
                                <w:sz w:val="24"/>
                                <w:szCs w:val="24"/>
                              </w:rPr>
                              <w:t xml:space="preserve">Gráfica </w:t>
                            </w:r>
                            <w:r w:rsidRPr="00435CD2">
                              <w:rPr>
                                <w:rFonts w:ascii="Arial" w:hAnsi="Arial" w:cs="Arial"/>
                                <w:color w:val="000000" w:themeColor="text1"/>
                                <w:sz w:val="24"/>
                                <w:szCs w:val="24"/>
                              </w:rPr>
                              <w:fldChar w:fldCharType="begin"/>
                            </w:r>
                            <w:r w:rsidRPr="00435CD2">
                              <w:rPr>
                                <w:rFonts w:ascii="Arial" w:hAnsi="Arial" w:cs="Arial"/>
                                <w:color w:val="000000" w:themeColor="text1"/>
                                <w:sz w:val="24"/>
                                <w:szCs w:val="24"/>
                              </w:rPr>
                              <w:instrText xml:space="preserve"> SEQ Gráfica \* ARABIC </w:instrText>
                            </w:r>
                            <w:r w:rsidRPr="00435CD2">
                              <w:rPr>
                                <w:rFonts w:ascii="Arial" w:hAnsi="Arial" w:cs="Arial"/>
                                <w:color w:val="000000" w:themeColor="text1"/>
                                <w:sz w:val="24"/>
                                <w:szCs w:val="24"/>
                              </w:rPr>
                              <w:fldChar w:fldCharType="separate"/>
                            </w:r>
                            <w:r w:rsidR="004F456A">
                              <w:rPr>
                                <w:rFonts w:ascii="Arial" w:hAnsi="Arial" w:cs="Arial"/>
                                <w:noProof/>
                                <w:color w:val="000000" w:themeColor="text1"/>
                                <w:sz w:val="24"/>
                                <w:szCs w:val="24"/>
                              </w:rPr>
                              <w:t>4</w:t>
                            </w:r>
                            <w:r w:rsidRPr="00435CD2">
                              <w:rPr>
                                <w:rFonts w:ascii="Arial" w:hAnsi="Arial" w:cs="Arial"/>
                                <w:color w:val="000000" w:themeColor="text1"/>
                                <w:sz w:val="24"/>
                                <w:szCs w:val="24"/>
                              </w:rPr>
                              <w:fldChar w:fldCharType="end"/>
                            </w:r>
                            <w:r w:rsidRPr="00435CD2">
                              <w:rPr>
                                <w:rFonts w:ascii="Arial" w:hAnsi="Arial" w:cs="Arial"/>
                                <w:color w:val="000000" w:themeColor="text1"/>
                                <w:sz w:val="24"/>
                                <w:szCs w:val="24"/>
                              </w:rPr>
                              <w:t>. Relación población asegurada por localidad frente a puntos de dispensación, Capital Salud EPS-S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D1BED00" id="Cuadro de texto 18" o:spid="_x0000_s1029" type="#_x0000_t202" style="position:absolute;left:0;text-align:left;margin-left:-55.05pt;margin-top:5.1pt;width:564pt;height:36pt;z-index:2516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" stroked="f">
                <v:textbox inset="0,0,0,0">
                  <w:txbxContent>
                    <w:p w14:paraId="7617895E" w14:textId="6D572295" w:rsidR="00435CD2" w:rsidRPr="00435CD2" w:rsidRDefault="00435CD2" w:rsidP="00435CD2">
                      <w:pPr>
                        <w:pStyle w:val="Descripcin"/>
                        <w:jc w:val="center"/>
                        <w:rPr>
                          <w:rFonts w:ascii="Arial" w:hAnsi="Arial" w:cs="Arial"/>
                          <w:noProof/>
                          <w:color w:val="000000" w:themeColor="text1"/>
                          <w:sz w:val="24"/>
                          <w:szCs w:val="24"/>
                        </w:rPr>
                      </w:pPr>
                      <w:r w:rsidRPr="00435CD2">
                        <w:rPr>
                          <w:rFonts w:ascii="Arial" w:hAnsi="Arial" w:cs="Arial"/>
                          <w:color w:val="000000" w:themeColor="text1"/>
                          <w:sz w:val="24"/>
                          <w:szCs w:val="24"/>
                        </w:rPr>
                        <w:t xml:space="preserve">Gráfica </w:t>
                      </w:r>
                      <w:r w:rsidRPr="00435CD2">
                        <w:rPr>
                          <w:rFonts w:ascii="Arial" w:hAnsi="Arial" w:cs="Arial"/>
                          <w:color w:val="000000" w:themeColor="text1"/>
                          <w:sz w:val="24"/>
                          <w:szCs w:val="24"/>
                        </w:rPr>
                        <w:fldChar w:fldCharType="begin"/>
                      </w:r>
                      <w:r w:rsidRPr="00435CD2">
                        <w:rPr>
                          <w:rFonts w:ascii="Arial" w:hAnsi="Arial" w:cs="Arial"/>
                          <w:color w:val="000000" w:themeColor="text1"/>
                          <w:sz w:val="24"/>
                          <w:szCs w:val="24"/>
                        </w:rPr>
                        <w:instrText xml:space="preserve"> SEQ Gráfica \* ARABIC </w:instrText>
                      </w:r>
                      <w:r w:rsidRPr="00435CD2">
                        <w:rPr>
                          <w:rFonts w:ascii="Arial" w:hAnsi="Arial" w:cs="Arial"/>
                          <w:color w:val="000000" w:themeColor="text1"/>
                          <w:sz w:val="24"/>
                          <w:szCs w:val="24"/>
                        </w:rPr>
                        <w:fldChar w:fldCharType="separate"/>
                      </w:r>
                      <w:r w:rsidR="004F456A">
                        <w:rPr>
                          <w:rFonts w:ascii="Arial" w:hAnsi="Arial" w:cs="Arial"/>
                          <w:noProof/>
                          <w:color w:val="000000" w:themeColor="text1"/>
                          <w:sz w:val="24"/>
                          <w:szCs w:val="24"/>
                        </w:rPr>
                        <w:t>4</w:t>
                      </w:r>
                      <w:r w:rsidRPr="00435CD2">
                        <w:rPr>
                          <w:rFonts w:ascii="Arial" w:hAnsi="Arial" w:cs="Arial"/>
                          <w:color w:val="000000" w:themeColor="text1"/>
                          <w:sz w:val="24"/>
                          <w:szCs w:val="24"/>
                        </w:rPr>
                        <w:fldChar w:fldCharType="end"/>
                      </w:r>
                      <w:r w:rsidRPr="00435CD2">
                        <w:rPr>
                          <w:rFonts w:ascii="Arial" w:hAnsi="Arial" w:cs="Arial"/>
                          <w:color w:val="000000" w:themeColor="text1"/>
                          <w:sz w:val="24"/>
                          <w:szCs w:val="24"/>
                        </w:rPr>
                        <w:t>. Relación población asegurada por localidad frente a puntos de dispensación, Capital Salud EPS-S</w:t>
                      </w:r>
                    </w:p>
                  </w:txbxContent>
                </v:textbox>
                <w10:wrap type="square"/>
              </v:shape>
            </w:pict>
          </mc:Fallback>
        </mc:AlternateContent>
      </w:r>
    </w:p>
    <w:p w14:paraId="0B7E0B3A" w14:textId="163AC8BB" w:rsidR="009F762E" w:rsidRPr="00242DFB" w:rsidRDefault="009F762E" w:rsidP="00435CD2">
      <w:pPr>
        <w:spacing w:line="360" w:lineRule="auto"/>
        <w:rPr>
          <w:rFonts w:ascii="Arial" w:hAnsi="Arial" w:cs="Arial"/>
          <w:color w:val="000000" w:themeColor="text1"/>
        </w:rPr>
      </w:pPr>
    </w:p>
    <w:p w14:paraId="7D8177C6" w14:textId="77777777" w:rsidR="009F762E" w:rsidRPr="00242DFB" w:rsidRDefault="00000000" w:rsidP="002A0E52">
      <w:pPr>
        <w:spacing w:line="360" w:lineRule="auto"/>
        <w:jc w:val="both"/>
        <w:rPr>
          <w:rFonts w:ascii="Arial" w:hAnsi="Arial" w:cs="Arial"/>
          <w:color w:val="000000" w:themeColor="text1"/>
          <w:sz w:val="16"/>
          <w:szCs w:val="16"/>
        </w:rPr>
      </w:pPr>
      <w:r w:rsidRPr="00242DFB">
        <w:rPr>
          <w:rFonts w:ascii="Arial" w:hAnsi="Arial" w:cs="Arial"/>
          <w:color w:val="000000"/>
          <w:sz w:val="16"/>
          <w:szCs w:val="16"/>
        </w:rPr>
        <w:t>Fuente: Capital Salud EPS-S: Respuesta al requerimiento No. 026-EE-54444 de la Subdirección de Garantía del Aseguramiento, mediante la cual se remite información de la Red Prestadora por Georeferenciación (Afiliados Corte 30-04-2026 Sin incluir los registros en portabilidad información).</w:t>
      </w:r>
    </w:p>
    <w:p w14:paraId="6ADCE09C"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36A1C047" w14:textId="1D192593"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Según la distribución territorial de la red contratada por Capital Salud EPS-S para la dispensación de medicamentos en Bogotá (ver gráfica 4), considerando la proporción promedio de </w:t>
      </w:r>
      <w:r w:rsidRPr="00242DFB">
        <w:rPr>
          <w:rFonts w:ascii="Arial" w:eastAsia="Arial" w:hAnsi="Arial" w:cs="Arial"/>
          <w:b/>
          <w:bCs/>
          <w:color w:val="000000"/>
        </w:rPr>
        <w:t>64.151</w:t>
      </w:r>
      <w:r w:rsidRPr="00242DFB">
        <w:rPr>
          <w:rFonts w:ascii="Arial" w:eastAsia="Arial" w:hAnsi="Arial" w:cs="Arial"/>
          <w:color w:val="000000"/>
        </w:rPr>
        <w:t xml:space="preserve"> afiliados por cada punto de dispensación disponible en el Distrito, permite identificar diferencias significativas entre la oferta de servicios farmacéuticos y la concentración de población afiliada en determinadas localidades afiliados, (equivalente a 0,155 puntos por cada 10.000 afiliados), Esta situación sugiere posibles desequilibrios en la distribución de la capacidad instalada de la red, particularmente en zonas con mayor demanda potencial de servicios. </w:t>
      </w:r>
    </w:p>
    <w:p w14:paraId="765A2427" w14:textId="77777777" w:rsidR="009F762E" w:rsidRPr="00242DFB" w:rsidRDefault="009F762E" w:rsidP="002A0E52">
      <w:pPr>
        <w:spacing w:line="360" w:lineRule="auto"/>
        <w:jc w:val="both"/>
        <w:rPr>
          <w:rFonts w:ascii="Arial" w:hAnsi="Arial" w:cs="Arial"/>
          <w:color w:val="000000" w:themeColor="text1"/>
        </w:rPr>
      </w:pPr>
    </w:p>
    <w:p w14:paraId="7B29ED7E" w14:textId="77777777" w:rsidR="009F762E" w:rsidRPr="00242DFB" w:rsidRDefault="00000000" w:rsidP="002A0E52">
      <w:pPr>
        <w:spacing w:line="360" w:lineRule="auto"/>
        <w:jc w:val="both"/>
        <w:rPr>
          <w:rFonts w:ascii="Arial" w:eastAsia="Arial" w:hAnsi="Arial" w:cs="Arial"/>
          <w:color w:val="000000"/>
        </w:rPr>
      </w:pPr>
      <w:r w:rsidRPr="00242DFB">
        <w:rPr>
          <w:rFonts w:ascii="Arial" w:eastAsia="Arial" w:hAnsi="Arial" w:cs="Arial"/>
          <w:color w:val="000000"/>
        </w:rPr>
        <w:t>La normatividad vigente establece que las Entidades Administradoras de Planes de Beneficios deben garantizar una red de servicios que cumpla con criterios de suficiencia, accesibilidad, oportunidad y capacidad instalada, de manera que la población afiliada pueda acceder efectivamente a los servicios requeridos. Aunque en Colombia no existe un parámetro específico que determine el número de puntos de dispensación farmacéutica en relación con la cantidad de afiliados, sí se exige que la red responda adecuadamente a las necesidades de la población cubierta y a las características territoriales donde se presta el servicio. En este sentido, la planeación de la red debe considerar aspectos como la concentración de usuarios, la distribución geográfica y la capacidad operativa de los puntos de atención.</w:t>
      </w:r>
    </w:p>
    <w:p w14:paraId="241235EB" w14:textId="77777777" w:rsidR="00435CD2" w:rsidRPr="00242DFB" w:rsidRDefault="00435CD2" w:rsidP="002A0E52">
      <w:pPr>
        <w:spacing w:line="360" w:lineRule="auto"/>
        <w:jc w:val="both"/>
        <w:rPr>
          <w:rFonts w:ascii="Arial" w:hAnsi="Arial" w:cs="Arial"/>
          <w:color w:val="000000" w:themeColor="text1"/>
        </w:rPr>
      </w:pPr>
    </w:p>
    <w:p w14:paraId="1288E866" w14:textId="77777777" w:rsidR="009F762E" w:rsidRPr="00242DFB" w:rsidRDefault="00000000" w:rsidP="002A0E52">
      <w:pPr>
        <w:spacing w:line="360" w:lineRule="auto"/>
        <w:jc w:val="both"/>
        <w:rPr>
          <w:rFonts w:ascii="Arial" w:eastAsia="Arial" w:hAnsi="Arial" w:cs="Arial"/>
          <w:color w:val="000000"/>
        </w:rPr>
      </w:pPr>
      <w:r w:rsidRPr="00242DFB">
        <w:rPr>
          <w:rFonts w:ascii="Arial" w:eastAsia="Arial" w:hAnsi="Arial" w:cs="Arial"/>
          <w:color w:val="000000"/>
        </w:rPr>
        <w:t>Bajo este contexto, el análisis realizado evidencia que en varias localidades existe una elevada concentración de afiliados por punto de dispensación farmacéutico, situación que puede exceder la capacidad de respuesta de la red disponible. Esta condición se refleja en mayores tiempos de espera, congestión en los puntos de atención, incremento de entregas parciales o diferidas de medicamentos y aumento de trámites administrativos relacionados con reformulaciones, nuevas autorizaciones y desplazamientos repetitivos por parte de los usuarios. Lo anterior permite identificar una posible brecha entre la demanda real de servicios farmacéuticos y la capacidad instalada disponible para atenderla.</w:t>
      </w:r>
    </w:p>
    <w:p w14:paraId="6A58ABFD" w14:textId="77777777" w:rsidR="00435CD2" w:rsidRPr="00242DFB" w:rsidRDefault="00435CD2" w:rsidP="002A0E52">
      <w:pPr>
        <w:spacing w:line="360" w:lineRule="auto"/>
        <w:jc w:val="both"/>
        <w:rPr>
          <w:rFonts w:ascii="Arial" w:hAnsi="Arial" w:cs="Arial"/>
          <w:color w:val="000000" w:themeColor="text1"/>
        </w:rPr>
      </w:pPr>
    </w:p>
    <w:p w14:paraId="29483AA4" w14:textId="77777777" w:rsidR="009F762E" w:rsidRPr="00242DFB" w:rsidRDefault="00000000" w:rsidP="002A0E52">
      <w:pPr>
        <w:spacing w:line="360" w:lineRule="auto"/>
        <w:jc w:val="both"/>
        <w:rPr>
          <w:rFonts w:ascii="Arial" w:eastAsia="Arial" w:hAnsi="Arial" w:cs="Arial"/>
          <w:color w:val="000000"/>
        </w:rPr>
      </w:pPr>
      <w:r w:rsidRPr="00242DFB">
        <w:rPr>
          <w:rFonts w:ascii="Arial" w:eastAsia="Arial" w:hAnsi="Arial" w:cs="Arial"/>
          <w:color w:val="000000"/>
        </w:rPr>
        <w:t xml:space="preserve">Las implicaciones de esta situación trascienden el ámbito operativo y pueden generar efectos directos sobre la atención en salud de la población afiliada. La inoportunidad en la entrega de medicamentos puede afectar la continuidad de los tratamientos y comprometer la adherencia terapéutica, especialmente en pacientes con enfermedades crónicas, gestantes, adultos mayores y personas con condiciones de salud de alto riesgo. Como consecuencia, aumenta la probabilidad de descompensaciones clínicas, eventos adversos, consultas por urgencias y hospitalizaciones potencialmente evitables. Adicionalmente, las dificultades de acceso pueden trasladar cargas económicas a los usuarios, quienes en algunos </w:t>
      </w:r>
      <w:r w:rsidRPr="00242DFB">
        <w:rPr>
          <w:rFonts w:ascii="Arial" w:eastAsia="Arial" w:hAnsi="Arial" w:cs="Arial"/>
          <w:color w:val="000000"/>
        </w:rPr>
        <w:lastRenderedPageBreak/>
        <w:t>casos deben asumir costos asociados a la compra de medicamentos, transporte, desplazamientos adicionales, afectando de manera más significativa a la población en condiciones de vulnerabilidad.</w:t>
      </w:r>
    </w:p>
    <w:p w14:paraId="13522FEE" w14:textId="77777777" w:rsidR="00435CD2" w:rsidRPr="00242DFB" w:rsidRDefault="00435CD2" w:rsidP="002A0E52">
      <w:pPr>
        <w:spacing w:line="360" w:lineRule="auto"/>
        <w:jc w:val="both"/>
        <w:rPr>
          <w:rFonts w:ascii="Arial" w:hAnsi="Arial" w:cs="Arial"/>
          <w:color w:val="000000" w:themeColor="text1"/>
        </w:rPr>
      </w:pPr>
    </w:p>
    <w:p w14:paraId="52FE7826"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En consecuencia, la información analizada permite concluir que la alta concentración de afiliados frente a una oferta limitada de puntos de dispensación farmacéutica, sumada a la entrega incompleta de las fórmulas dispensadas generando medicamentos pendientes, constituye un indicio técnico de posible insuficiencia de la red de dispensación. Esta situación podría afectar la accesibilidad efectiva de los usuarios, la continuidad de los tratamientos y los resultados en salud de la población afiliada, por lo que resulta necesario fortalecer las estrategias de planeación, seguimiento y ampliación de la capacidad instalada de la red, garantizando que la oferta de servicios responda de manera adecuada a las necesidades reales de la población cubierta.</w:t>
      </w:r>
    </w:p>
    <w:p w14:paraId="07542A17"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42DF777E" w14:textId="77777777" w:rsidR="009F762E" w:rsidRPr="00242DFB" w:rsidRDefault="00000000" w:rsidP="00536CF7">
      <w:pPr>
        <w:pStyle w:val="Ttulo2"/>
        <w:numPr>
          <w:ilvl w:val="1"/>
          <w:numId w:val="7"/>
        </w:numPr>
        <w:spacing w:before="0" w:line="360" w:lineRule="auto"/>
        <w:jc w:val="both"/>
        <w:rPr>
          <w:rFonts w:ascii="Arial" w:hAnsi="Arial" w:cs="Arial"/>
          <w:b/>
          <w:bCs/>
          <w:color w:val="000000"/>
          <w:sz w:val="24"/>
          <w:szCs w:val="24"/>
        </w:rPr>
      </w:pPr>
      <w:r w:rsidRPr="00242DFB">
        <w:rPr>
          <w:rFonts w:ascii="Arial" w:hAnsi="Arial" w:cs="Arial"/>
          <w:b/>
          <w:bCs/>
          <w:color w:val="000000"/>
          <w:sz w:val="24"/>
          <w:szCs w:val="24"/>
        </w:rPr>
        <w:t>Análisis por cohorte priorizada 2025: solicitudes, pendientes, no entrega efectiva y entrega efectiva de medicamentos (enero-octubre de 2025)</w:t>
      </w:r>
    </w:p>
    <w:p w14:paraId="11F7ED06"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6F4CC742"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El análisis realizado se centró en las cohortes de cáncer, enfermedad renal crónica (ERC), artritis reumatoide, pacientes trasplantados y enfermedades huérfanas, debido a que corresponden a grupos con una elevada vulnerabilidad clínica y una alta dependencia de tratamientos farmacológicos continuos. Además, se trata de poblaciones que demandan un seguimiento permanente por el riesgo que representa cualquier interrupción en las terapias prescritas, así como por el impacto asistencial y financiero asociado a su atención.</w:t>
      </w:r>
    </w:p>
    <w:p w14:paraId="6F852523"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61EE9AC9" w14:textId="77777777" w:rsidR="009F762E" w:rsidRPr="00242DFB" w:rsidRDefault="00000000" w:rsidP="002A0E52">
      <w:pPr>
        <w:spacing w:line="360" w:lineRule="auto"/>
        <w:jc w:val="both"/>
        <w:rPr>
          <w:rFonts w:ascii="Arial" w:eastAsia="Arial" w:hAnsi="Arial" w:cs="Arial"/>
          <w:color w:val="000000"/>
        </w:rPr>
      </w:pPr>
      <w:r w:rsidRPr="00242DFB">
        <w:rPr>
          <w:rFonts w:ascii="Arial" w:eastAsia="Arial" w:hAnsi="Arial" w:cs="Arial"/>
          <w:color w:val="000000"/>
        </w:rPr>
        <w:t xml:space="preserve">En estos casos, las dificultades relacionadas con el suministro de medicamentos pueden generar consecuencias inmediatas sobre la evolución de la enfermedad, favoreciendo el deterioro del estado de salud, la aparición de complicaciones, el incremento de eventos clínicos evitables y una mayor utilización de servicios hospitalarios y de urgencias. De igual manera, estas situaciones suelen reflejarse </w:t>
      </w:r>
      <w:r w:rsidRPr="00242DFB">
        <w:rPr>
          <w:rFonts w:ascii="Arial" w:eastAsia="Arial" w:hAnsi="Arial" w:cs="Arial"/>
          <w:color w:val="000000"/>
        </w:rPr>
        <w:lastRenderedPageBreak/>
        <w:t>en un aumento de las reclamaciones de los usuarios a través de PQR orientadas a garantizar el acceso a los tratamientos ordenados; por esta razón, el análisis segmentado por cohortes resulta una herramienta relevante para identificar el nivel de riesgo asociado a los incumplimientos en la dispensación farmacéutica. Más allá de los resultados generales, este enfoque permite establecer cuáles grupos poblacionales podrían verse más afectados por las barreras de acceso a medicamentos y dónde las consecuencias pueden tener una mayor repercusión sobre la continuidad de la atención y los desenlaces en salud de los usuarios de Capital Salud EPS-S.</w:t>
      </w:r>
    </w:p>
    <w:p w14:paraId="10B31F6C" w14:textId="77777777" w:rsidR="00536CF7" w:rsidRPr="00242DFB" w:rsidRDefault="00536CF7" w:rsidP="002A0E52">
      <w:pPr>
        <w:spacing w:line="360" w:lineRule="auto"/>
        <w:jc w:val="both"/>
        <w:rPr>
          <w:rFonts w:ascii="Arial" w:hAnsi="Arial" w:cs="Arial"/>
          <w:color w:val="000000" w:themeColor="text1"/>
        </w:rPr>
      </w:pPr>
    </w:p>
    <w:p w14:paraId="19B50097" w14:textId="77777777" w:rsidR="009F762E" w:rsidRPr="00242DFB" w:rsidRDefault="00000000" w:rsidP="002A0E52">
      <w:pPr>
        <w:spacing w:line="360" w:lineRule="auto"/>
        <w:jc w:val="both"/>
        <w:rPr>
          <w:rFonts w:ascii="Arial" w:eastAsia="Arial" w:hAnsi="Arial" w:cs="Arial"/>
          <w:color w:val="000000"/>
        </w:rPr>
      </w:pPr>
      <w:r w:rsidRPr="00242DFB">
        <w:rPr>
          <w:rFonts w:ascii="Arial" w:eastAsia="Arial" w:hAnsi="Arial" w:cs="Arial"/>
          <w:color w:val="000000"/>
        </w:rPr>
        <w:t>A continuación, se desarrolla la revisión mensual correspondiente al periodo enero-octubre de 2025 sobre el comportamiento de la dispensación de medicamentos en las cohortes priorizadas de Capital Salud EPS-S, con el propósito de analizar el acceso efectivo a los tratamientos y la garantía de continuidad en la atención farmacológica de grupos poblacionales con condiciones de salud de especial seguimiento.</w:t>
      </w:r>
    </w:p>
    <w:p w14:paraId="38F231B7" w14:textId="77777777" w:rsidR="00536CF7" w:rsidRPr="00242DFB" w:rsidRDefault="00536CF7" w:rsidP="002A0E52">
      <w:pPr>
        <w:spacing w:line="360" w:lineRule="auto"/>
        <w:jc w:val="both"/>
        <w:rPr>
          <w:rFonts w:ascii="Arial" w:hAnsi="Arial" w:cs="Arial"/>
          <w:color w:val="000000" w:themeColor="text1"/>
        </w:rPr>
      </w:pPr>
    </w:p>
    <w:p w14:paraId="4FE46617" w14:textId="77777777" w:rsidR="009F762E" w:rsidRPr="00242DFB" w:rsidRDefault="00000000" w:rsidP="002A0E52">
      <w:pPr>
        <w:spacing w:line="360" w:lineRule="auto"/>
        <w:jc w:val="both"/>
        <w:rPr>
          <w:rFonts w:ascii="Arial" w:eastAsia="Arial" w:hAnsi="Arial" w:cs="Arial"/>
          <w:color w:val="000000"/>
        </w:rPr>
      </w:pPr>
      <w:r w:rsidRPr="00242DFB">
        <w:rPr>
          <w:rFonts w:ascii="Arial" w:eastAsia="Arial" w:hAnsi="Arial" w:cs="Arial"/>
          <w:color w:val="000000"/>
        </w:rPr>
        <w:t>Para este análisis se integran los registros de medicamentos solicitados, medicamentos pendientes de suministro, pendientes sin evidencia de entrega efectiva al momento del reporte de información y los indicadores de cumplimiento en la dispensación. La evaluación conjunta de estas variables permite reconocer comportamientos atípicos, cambios relevantes y posibles discrepancias en la información, que podrían estar relacionadas con dificultades en la gestión del suministro, limitaciones en la capacidad operativa o debilidades en los procesos de reporte y consolidación de datos.</w:t>
      </w:r>
    </w:p>
    <w:p w14:paraId="03018A2B" w14:textId="77777777" w:rsidR="00536CF7" w:rsidRPr="00242DFB" w:rsidRDefault="00536CF7" w:rsidP="002A0E52">
      <w:pPr>
        <w:spacing w:line="360" w:lineRule="auto"/>
        <w:jc w:val="both"/>
        <w:rPr>
          <w:rFonts w:ascii="Arial" w:hAnsi="Arial" w:cs="Arial"/>
          <w:color w:val="000000" w:themeColor="text1"/>
        </w:rPr>
      </w:pPr>
    </w:p>
    <w:p w14:paraId="082D53E7"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Este abordaje facilita una comprensión más amplia del comportamiento observado, permitiendo valorar no solo la dimensión de las situaciones identificadas, sino también las posibles repercusiones sobre la adherencia a los tratamientos, la estabilidad clínica de los pacientes y la ocurrencia de desenlaces adversos potencialmente prevenibles en la población afiliada a Capital Salud EPS-S.</w:t>
      </w:r>
    </w:p>
    <w:p w14:paraId="170A5BD8" w14:textId="78F0714B" w:rsidR="00536CF7" w:rsidRPr="00242DFB" w:rsidRDefault="00536CF7" w:rsidP="00536CF7">
      <w:pPr>
        <w:pStyle w:val="Descripcin"/>
        <w:keepNext/>
        <w:jc w:val="center"/>
        <w:rPr>
          <w:rFonts w:ascii="Arial" w:hAnsi="Arial" w:cs="Arial"/>
          <w:color w:val="000000" w:themeColor="text1"/>
          <w:sz w:val="24"/>
          <w:szCs w:val="24"/>
        </w:rPr>
      </w:pPr>
      <w:r w:rsidRPr="00242DFB">
        <w:rPr>
          <w:rFonts w:ascii="Arial" w:hAnsi="Arial" w:cs="Arial"/>
          <w:color w:val="000000" w:themeColor="text1"/>
          <w:sz w:val="24"/>
          <w:szCs w:val="24"/>
        </w:rPr>
        <w:lastRenderedPageBreak/>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19</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Medicamentos solicitados por cohorte priorizada, serie mensual enero-octubre de 2025</w:t>
      </w:r>
    </w:p>
    <w:tbl>
      <w:tblPr>
        <w:tblStyle w:val="Tablaconcuadrcula"/>
        <w:tblW w:w="10910" w:type="dxa"/>
        <w:jc w:val="center"/>
        <w:tblLayout w:type="fixed"/>
        <w:tblLook w:val="04A0" w:firstRow="1" w:lastRow="0" w:firstColumn="1" w:lastColumn="0" w:noHBand="0" w:noVBand="1"/>
      </w:tblPr>
      <w:tblGrid>
        <w:gridCol w:w="1826"/>
        <w:gridCol w:w="796"/>
        <w:gridCol w:w="795"/>
        <w:gridCol w:w="794"/>
        <w:gridCol w:w="795"/>
        <w:gridCol w:w="795"/>
        <w:gridCol w:w="796"/>
        <w:gridCol w:w="795"/>
        <w:gridCol w:w="794"/>
        <w:gridCol w:w="795"/>
        <w:gridCol w:w="796"/>
        <w:gridCol w:w="1133"/>
      </w:tblGrid>
      <w:tr w:rsidR="009F762E" w:rsidRPr="00242DFB" w14:paraId="6F1E6485" w14:textId="77777777" w:rsidTr="00894C96">
        <w:trPr>
          <w:cantSplit/>
          <w:trHeight w:val="335"/>
          <w:jc w:val="center"/>
        </w:trPr>
        <w:tc>
          <w:tcPr>
            <w:tcW w:w="1826" w:type="dxa"/>
            <w:vMerge w:val="restart"/>
            <w:vAlign w:val="center"/>
          </w:tcPr>
          <w:p w14:paraId="533A8951" w14:textId="77777777" w:rsidR="009F762E" w:rsidRPr="00242DFB" w:rsidRDefault="00000000" w:rsidP="002A0E52">
            <w:pPr>
              <w:spacing w:line="360" w:lineRule="auto"/>
              <w:rPr>
                <w:rFonts w:ascii="Arial" w:hAnsi="Arial" w:cs="Arial"/>
                <w:b/>
                <w:bCs/>
                <w:color w:val="000000" w:themeColor="text1"/>
                <w:sz w:val="22"/>
                <w:szCs w:val="22"/>
              </w:rPr>
            </w:pPr>
            <w:r w:rsidRPr="00242DFB">
              <w:rPr>
                <w:rFonts w:ascii="Arial" w:hAnsi="Arial" w:cs="Arial"/>
                <w:b/>
                <w:bCs/>
                <w:color w:val="000000" w:themeColor="text1"/>
                <w:kern w:val="2"/>
                <w:sz w:val="22"/>
                <w:szCs w:val="22"/>
              </w:rPr>
              <w:t xml:space="preserve">COHORTE </w:t>
            </w:r>
          </w:p>
        </w:tc>
        <w:tc>
          <w:tcPr>
            <w:tcW w:w="9084" w:type="dxa"/>
            <w:gridSpan w:val="11"/>
            <w:vAlign w:val="center"/>
          </w:tcPr>
          <w:p w14:paraId="07B2BD8C" w14:textId="77777777" w:rsidR="009F762E" w:rsidRPr="00242DFB" w:rsidRDefault="00000000" w:rsidP="002A0E52">
            <w:pPr>
              <w:spacing w:line="360" w:lineRule="auto"/>
              <w:jc w:val="center"/>
              <w:rPr>
                <w:rFonts w:ascii="Arial" w:hAnsi="Arial" w:cs="Arial"/>
                <w:b/>
                <w:bCs/>
                <w:color w:val="000000" w:themeColor="text1"/>
                <w:sz w:val="22"/>
                <w:szCs w:val="22"/>
              </w:rPr>
            </w:pPr>
            <w:r w:rsidRPr="00242DFB">
              <w:rPr>
                <w:rFonts w:ascii="Arial" w:hAnsi="Arial" w:cs="Arial"/>
                <w:b/>
                <w:bCs/>
                <w:color w:val="000000" w:themeColor="text1"/>
                <w:kern w:val="2"/>
                <w:sz w:val="22"/>
                <w:szCs w:val="22"/>
              </w:rPr>
              <w:t xml:space="preserve">Medicamentos Solicitados </w:t>
            </w:r>
          </w:p>
        </w:tc>
      </w:tr>
      <w:tr w:rsidR="009F762E" w:rsidRPr="00242DFB" w14:paraId="50525B82" w14:textId="77777777" w:rsidTr="00894C96">
        <w:trPr>
          <w:cantSplit/>
          <w:trHeight w:val="335"/>
          <w:jc w:val="center"/>
        </w:trPr>
        <w:tc>
          <w:tcPr>
            <w:tcW w:w="1826" w:type="dxa"/>
            <w:vMerge/>
            <w:vAlign w:val="center"/>
          </w:tcPr>
          <w:p w14:paraId="7C033926" w14:textId="77777777" w:rsidR="009F762E" w:rsidRPr="00242DFB" w:rsidRDefault="009F762E" w:rsidP="002A0E52">
            <w:pPr>
              <w:spacing w:line="360" w:lineRule="auto"/>
              <w:jc w:val="center"/>
              <w:rPr>
                <w:rFonts w:ascii="Arial" w:hAnsi="Arial" w:cs="Arial"/>
                <w:b/>
                <w:bCs/>
                <w:color w:val="000000" w:themeColor="text1"/>
                <w:sz w:val="22"/>
                <w:szCs w:val="22"/>
              </w:rPr>
            </w:pPr>
          </w:p>
        </w:tc>
        <w:tc>
          <w:tcPr>
            <w:tcW w:w="796" w:type="dxa"/>
            <w:vAlign w:val="center"/>
          </w:tcPr>
          <w:p w14:paraId="22B46A4E" w14:textId="77777777" w:rsidR="009F762E" w:rsidRPr="00242DFB" w:rsidRDefault="00000000" w:rsidP="002A0E52">
            <w:pPr>
              <w:spacing w:line="360" w:lineRule="auto"/>
              <w:jc w:val="center"/>
              <w:rPr>
                <w:rFonts w:ascii="Arial" w:hAnsi="Arial" w:cs="Arial"/>
                <w:b/>
                <w:bCs/>
                <w:color w:val="000000" w:themeColor="text1"/>
                <w:sz w:val="16"/>
                <w:szCs w:val="16"/>
              </w:rPr>
            </w:pPr>
            <w:r w:rsidRPr="00242DFB">
              <w:rPr>
                <w:rFonts w:ascii="Arial" w:hAnsi="Arial" w:cs="Arial"/>
                <w:b/>
                <w:bCs/>
                <w:color w:val="000000" w:themeColor="text1"/>
                <w:kern w:val="2"/>
                <w:sz w:val="16"/>
                <w:szCs w:val="16"/>
              </w:rPr>
              <w:t>ene-25</w:t>
            </w:r>
          </w:p>
        </w:tc>
        <w:tc>
          <w:tcPr>
            <w:tcW w:w="795" w:type="dxa"/>
            <w:vAlign w:val="center"/>
          </w:tcPr>
          <w:p w14:paraId="7E5F03C8" w14:textId="77777777" w:rsidR="009F762E" w:rsidRPr="00242DFB" w:rsidRDefault="00000000" w:rsidP="002A0E52">
            <w:pPr>
              <w:spacing w:line="360" w:lineRule="auto"/>
              <w:jc w:val="center"/>
              <w:rPr>
                <w:rFonts w:ascii="Arial" w:hAnsi="Arial" w:cs="Arial"/>
                <w:b/>
                <w:bCs/>
                <w:color w:val="000000" w:themeColor="text1"/>
                <w:sz w:val="16"/>
                <w:szCs w:val="16"/>
              </w:rPr>
            </w:pPr>
            <w:r w:rsidRPr="00242DFB">
              <w:rPr>
                <w:rFonts w:ascii="Arial" w:hAnsi="Arial" w:cs="Arial"/>
                <w:b/>
                <w:bCs/>
                <w:color w:val="000000" w:themeColor="text1"/>
                <w:kern w:val="2"/>
                <w:sz w:val="16"/>
                <w:szCs w:val="16"/>
              </w:rPr>
              <w:t>feb-25</w:t>
            </w:r>
          </w:p>
        </w:tc>
        <w:tc>
          <w:tcPr>
            <w:tcW w:w="794" w:type="dxa"/>
            <w:vAlign w:val="center"/>
          </w:tcPr>
          <w:p w14:paraId="1E20FA82" w14:textId="77777777" w:rsidR="009F762E" w:rsidRPr="00242DFB" w:rsidRDefault="00000000" w:rsidP="002A0E52">
            <w:pPr>
              <w:spacing w:line="360" w:lineRule="auto"/>
              <w:jc w:val="center"/>
              <w:rPr>
                <w:rFonts w:ascii="Arial" w:hAnsi="Arial" w:cs="Arial"/>
                <w:b/>
                <w:bCs/>
                <w:color w:val="000000" w:themeColor="text1"/>
                <w:sz w:val="16"/>
                <w:szCs w:val="16"/>
              </w:rPr>
            </w:pPr>
            <w:r w:rsidRPr="00242DFB">
              <w:rPr>
                <w:rFonts w:ascii="Arial" w:hAnsi="Arial" w:cs="Arial"/>
                <w:b/>
                <w:bCs/>
                <w:color w:val="000000" w:themeColor="text1"/>
                <w:kern w:val="2"/>
                <w:sz w:val="16"/>
                <w:szCs w:val="16"/>
              </w:rPr>
              <w:t>mar-25</w:t>
            </w:r>
          </w:p>
        </w:tc>
        <w:tc>
          <w:tcPr>
            <w:tcW w:w="795" w:type="dxa"/>
            <w:vAlign w:val="center"/>
          </w:tcPr>
          <w:p w14:paraId="72370199" w14:textId="77777777" w:rsidR="009F762E" w:rsidRPr="00242DFB" w:rsidRDefault="00000000" w:rsidP="002A0E52">
            <w:pPr>
              <w:spacing w:line="360" w:lineRule="auto"/>
              <w:jc w:val="center"/>
              <w:rPr>
                <w:rFonts w:ascii="Arial" w:hAnsi="Arial" w:cs="Arial"/>
                <w:b/>
                <w:bCs/>
                <w:color w:val="000000" w:themeColor="text1"/>
                <w:sz w:val="16"/>
                <w:szCs w:val="16"/>
              </w:rPr>
            </w:pPr>
            <w:r w:rsidRPr="00242DFB">
              <w:rPr>
                <w:rFonts w:ascii="Arial" w:hAnsi="Arial" w:cs="Arial"/>
                <w:b/>
                <w:bCs/>
                <w:color w:val="000000" w:themeColor="text1"/>
                <w:kern w:val="2"/>
                <w:sz w:val="16"/>
                <w:szCs w:val="16"/>
              </w:rPr>
              <w:t>abr-25</w:t>
            </w:r>
          </w:p>
        </w:tc>
        <w:tc>
          <w:tcPr>
            <w:tcW w:w="795" w:type="dxa"/>
            <w:vAlign w:val="center"/>
          </w:tcPr>
          <w:p w14:paraId="43454983" w14:textId="77777777" w:rsidR="009F762E" w:rsidRPr="00242DFB" w:rsidRDefault="00000000" w:rsidP="002A0E52">
            <w:pPr>
              <w:spacing w:line="360" w:lineRule="auto"/>
              <w:jc w:val="center"/>
              <w:rPr>
                <w:rFonts w:ascii="Arial" w:hAnsi="Arial" w:cs="Arial"/>
                <w:b/>
                <w:bCs/>
                <w:color w:val="000000" w:themeColor="text1"/>
                <w:sz w:val="16"/>
                <w:szCs w:val="16"/>
              </w:rPr>
            </w:pPr>
            <w:r w:rsidRPr="00242DFB">
              <w:rPr>
                <w:rFonts w:ascii="Arial" w:hAnsi="Arial" w:cs="Arial"/>
                <w:b/>
                <w:bCs/>
                <w:color w:val="000000" w:themeColor="text1"/>
                <w:kern w:val="2"/>
                <w:sz w:val="16"/>
                <w:szCs w:val="16"/>
              </w:rPr>
              <w:t>may-25</w:t>
            </w:r>
          </w:p>
        </w:tc>
        <w:tc>
          <w:tcPr>
            <w:tcW w:w="796" w:type="dxa"/>
            <w:vAlign w:val="center"/>
          </w:tcPr>
          <w:p w14:paraId="5421F50A" w14:textId="77777777" w:rsidR="009F762E" w:rsidRPr="00242DFB" w:rsidRDefault="00000000" w:rsidP="002A0E52">
            <w:pPr>
              <w:spacing w:line="360" w:lineRule="auto"/>
              <w:jc w:val="center"/>
              <w:rPr>
                <w:rFonts w:ascii="Arial" w:hAnsi="Arial" w:cs="Arial"/>
                <w:b/>
                <w:bCs/>
                <w:color w:val="000000" w:themeColor="text1"/>
                <w:sz w:val="16"/>
                <w:szCs w:val="16"/>
              </w:rPr>
            </w:pPr>
            <w:r w:rsidRPr="00242DFB">
              <w:rPr>
                <w:rFonts w:ascii="Arial" w:hAnsi="Arial" w:cs="Arial"/>
                <w:b/>
                <w:bCs/>
                <w:color w:val="000000" w:themeColor="text1"/>
                <w:kern w:val="2"/>
                <w:sz w:val="16"/>
                <w:szCs w:val="16"/>
              </w:rPr>
              <w:t>jun-25</w:t>
            </w:r>
          </w:p>
        </w:tc>
        <w:tc>
          <w:tcPr>
            <w:tcW w:w="795" w:type="dxa"/>
            <w:vAlign w:val="center"/>
          </w:tcPr>
          <w:p w14:paraId="35C2614B" w14:textId="77777777" w:rsidR="009F762E" w:rsidRPr="00242DFB" w:rsidRDefault="00000000" w:rsidP="002A0E52">
            <w:pPr>
              <w:spacing w:line="360" w:lineRule="auto"/>
              <w:jc w:val="center"/>
              <w:rPr>
                <w:rFonts w:ascii="Arial" w:hAnsi="Arial" w:cs="Arial"/>
                <w:b/>
                <w:bCs/>
                <w:color w:val="000000" w:themeColor="text1"/>
                <w:sz w:val="16"/>
                <w:szCs w:val="16"/>
              </w:rPr>
            </w:pPr>
            <w:r w:rsidRPr="00242DFB">
              <w:rPr>
                <w:rFonts w:ascii="Arial" w:hAnsi="Arial" w:cs="Arial"/>
                <w:b/>
                <w:bCs/>
                <w:color w:val="000000" w:themeColor="text1"/>
                <w:kern w:val="2"/>
                <w:sz w:val="16"/>
                <w:szCs w:val="16"/>
              </w:rPr>
              <w:t>jul-25</w:t>
            </w:r>
          </w:p>
        </w:tc>
        <w:tc>
          <w:tcPr>
            <w:tcW w:w="794" w:type="dxa"/>
            <w:vAlign w:val="center"/>
          </w:tcPr>
          <w:p w14:paraId="7D1B39DB" w14:textId="77777777" w:rsidR="009F762E" w:rsidRPr="00242DFB" w:rsidRDefault="00000000" w:rsidP="002A0E52">
            <w:pPr>
              <w:spacing w:line="360" w:lineRule="auto"/>
              <w:jc w:val="center"/>
              <w:rPr>
                <w:rFonts w:ascii="Arial" w:hAnsi="Arial" w:cs="Arial"/>
                <w:b/>
                <w:bCs/>
                <w:color w:val="000000" w:themeColor="text1"/>
                <w:sz w:val="16"/>
                <w:szCs w:val="16"/>
              </w:rPr>
            </w:pPr>
            <w:r w:rsidRPr="00242DFB">
              <w:rPr>
                <w:rFonts w:ascii="Arial" w:hAnsi="Arial" w:cs="Arial"/>
                <w:b/>
                <w:bCs/>
                <w:color w:val="000000" w:themeColor="text1"/>
                <w:kern w:val="2"/>
                <w:sz w:val="16"/>
                <w:szCs w:val="16"/>
              </w:rPr>
              <w:t>ago-25</w:t>
            </w:r>
          </w:p>
        </w:tc>
        <w:tc>
          <w:tcPr>
            <w:tcW w:w="795" w:type="dxa"/>
            <w:vAlign w:val="center"/>
          </w:tcPr>
          <w:p w14:paraId="18878EEE" w14:textId="77777777" w:rsidR="009F762E" w:rsidRPr="00242DFB" w:rsidRDefault="00000000" w:rsidP="002A0E52">
            <w:pPr>
              <w:spacing w:line="360" w:lineRule="auto"/>
              <w:jc w:val="center"/>
              <w:rPr>
                <w:rFonts w:ascii="Arial" w:hAnsi="Arial" w:cs="Arial"/>
                <w:b/>
                <w:bCs/>
                <w:color w:val="000000" w:themeColor="text1"/>
                <w:sz w:val="16"/>
                <w:szCs w:val="16"/>
              </w:rPr>
            </w:pPr>
            <w:r w:rsidRPr="00242DFB">
              <w:rPr>
                <w:rFonts w:ascii="Arial" w:hAnsi="Arial" w:cs="Arial"/>
                <w:b/>
                <w:bCs/>
                <w:color w:val="000000" w:themeColor="text1"/>
                <w:kern w:val="2"/>
                <w:sz w:val="16"/>
                <w:szCs w:val="16"/>
              </w:rPr>
              <w:t>sep-25</w:t>
            </w:r>
          </w:p>
        </w:tc>
        <w:tc>
          <w:tcPr>
            <w:tcW w:w="796" w:type="dxa"/>
            <w:vAlign w:val="center"/>
          </w:tcPr>
          <w:p w14:paraId="23830A6B" w14:textId="77777777" w:rsidR="009F762E" w:rsidRPr="00242DFB" w:rsidRDefault="00000000" w:rsidP="002A0E52">
            <w:pPr>
              <w:spacing w:line="360" w:lineRule="auto"/>
              <w:jc w:val="center"/>
              <w:rPr>
                <w:rFonts w:ascii="Arial" w:hAnsi="Arial" w:cs="Arial"/>
                <w:b/>
                <w:bCs/>
                <w:color w:val="000000" w:themeColor="text1"/>
                <w:sz w:val="16"/>
                <w:szCs w:val="16"/>
              </w:rPr>
            </w:pPr>
            <w:r w:rsidRPr="00242DFB">
              <w:rPr>
                <w:rFonts w:ascii="Arial" w:hAnsi="Arial" w:cs="Arial"/>
                <w:b/>
                <w:bCs/>
                <w:color w:val="000000" w:themeColor="text1"/>
                <w:kern w:val="2"/>
                <w:sz w:val="16"/>
                <w:szCs w:val="16"/>
              </w:rPr>
              <w:t>oct-25</w:t>
            </w:r>
          </w:p>
        </w:tc>
        <w:tc>
          <w:tcPr>
            <w:tcW w:w="1133" w:type="dxa"/>
            <w:vAlign w:val="center"/>
          </w:tcPr>
          <w:p w14:paraId="7533690F" w14:textId="77777777" w:rsidR="009F762E" w:rsidRPr="00242DFB" w:rsidRDefault="00000000" w:rsidP="002A0E52">
            <w:pPr>
              <w:spacing w:line="360" w:lineRule="auto"/>
              <w:jc w:val="center"/>
              <w:rPr>
                <w:rFonts w:ascii="Arial" w:hAnsi="Arial" w:cs="Arial"/>
                <w:b/>
                <w:bCs/>
                <w:color w:val="000000" w:themeColor="text1"/>
                <w:sz w:val="22"/>
                <w:szCs w:val="22"/>
              </w:rPr>
            </w:pPr>
            <w:r w:rsidRPr="00242DFB">
              <w:rPr>
                <w:rFonts w:ascii="Arial" w:hAnsi="Arial" w:cs="Arial"/>
                <w:b/>
                <w:bCs/>
                <w:color w:val="000000" w:themeColor="text1"/>
                <w:kern w:val="2"/>
                <w:sz w:val="22"/>
                <w:szCs w:val="22"/>
              </w:rPr>
              <w:t>TOTAL</w:t>
            </w:r>
          </w:p>
        </w:tc>
      </w:tr>
      <w:tr w:rsidR="009F762E" w:rsidRPr="00242DFB" w14:paraId="6C61C713" w14:textId="77777777" w:rsidTr="00894C96">
        <w:trPr>
          <w:cantSplit/>
          <w:trHeight w:val="335"/>
          <w:jc w:val="center"/>
        </w:trPr>
        <w:tc>
          <w:tcPr>
            <w:tcW w:w="1826" w:type="dxa"/>
            <w:vAlign w:val="center"/>
          </w:tcPr>
          <w:p w14:paraId="028D7C32" w14:textId="77777777" w:rsidR="009F762E" w:rsidRPr="00242DFB" w:rsidRDefault="00000000" w:rsidP="002A0E52">
            <w:pPr>
              <w:spacing w:line="360" w:lineRule="auto"/>
              <w:jc w:val="center"/>
              <w:rPr>
                <w:rFonts w:ascii="Arial" w:hAnsi="Arial" w:cs="Arial"/>
                <w:color w:val="000000" w:themeColor="text1"/>
                <w:sz w:val="22"/>
                <w:szCs w:val="22"/>
              </w:rPr>
            </w:pPr>
            <w:r w:rsidRPr="00242DFB">
              <w:rPr>
                <w:rFonts w:ascii="Arial" w:hAnsi="Arial" w:cs="Arial"/>
                <w:color w:val="000000" w:themeColor="text1"/>
                <w:kern w:val="2"/>
                <w:sz w:val="22"/>
                <w:szCs w:val="22"/>
              </w:rPr>
              <w:t>Cáncer</w:t>
            </w:r>
          </w:p>
        </w:tc>
        <w:tc>
          <w:tcPr>
            <w:tcW w:w="796" w:type="dxa"/>
            <w:vAlign w:val="center"/>
          </w:tcPr>
          <w:p w14:paraId="08E24835"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19.601</w:t>
            </w:r>
          </w:p>
        </w:tc>
        <w:tc>
          <w:tcPr>
            <w:tcW w:w="795" w:type="dxa"/>
            <w:vAlign w:val="center"/>
          </w:tcPr>
          <w:p w14:paraId="6BF8DC04"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32.783</w:t>
            </w:r>
          </w:p>
        </w:tc>
        <w:tc>
          <w:tcPr>
            <w:tcW w:w="794" w:type="dxa"/>
            <w:vAlign w:val="center"/>
          </w:tcPr>
          <w:p w14:paraId="451D7037"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20.345</w:t>
            </w:r>
          </w:p>
        </w:tc>
        <w:tc>
          <w:tcPr>
            <w:tcW w:w="795" w:type="dxa"/>
            <w:vAlign w:val="center"/>
          </w:tcPr>
          <w:p w14:paraId="1566D8C2"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16.273</w:t>
            </w:r>
          </w:p>
        </w:tc>
        <w:tc>
          <w:tcPr>
            <w:tcW w:w="795" w:type="dxa"/>
            <w:vAlign w:val="center"/>
          </w:tcPr>
          <w:p w14:paraId="259637BC"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17.434</w:t>
            </w:r>
          </w:p>
        </w:tc>
        <w:tc>
          <w:tcPr>
            <w:tcW w:w="796" w:type="dxa"/>
            <w:vAlign w:val="center"/>
          </w:tcPr>
          <w:p w14:paraId="0EE4F60D"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16.806</w:t>
            </w:r>
          </w:p>
        </w:tc>
        <w:tc>
          <w:tcPr>
            <w:tcW w:w="795" w:type="dxa"/>
            <w:vAlign w:val="center"/>
          </w:tcPr>
          <w:p w14:paraId="00C00088"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20.509</w:t>
            </w:r>
          </w:p>
        </w:tc>
        <w:tc>
          <w:tcPr>
            <w:tcW w:w="794" w:type="dxa"/>
            <w:vAlign w:val="center"/>
          </w:tcPr>
          <w:p w14:paraId="60E11089"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21.500</w:t>
            </w:r>
          </w:p>
        </w:tc>
        <w:tc>
          <w:tcPr>
            <w:tcW w:w="795" w:type="dxa"/>
            <w:vAlign w:val="center"/>
          </w:tcPr>
          <w:p w14:paraId="35443B47"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23.240</w:t>
            </w:r>
          </w:p>
        </w:tc>
        <w:tc>
          <w:tcPr>
            <w:tcW w:w="796" w:type="dxa"/>
            <w:vAlign w:val="center"/>
          </w:tcPr>
          <w:p w14:paraId="15A2DA21"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26.189</w:t>
            </w:r>
          </w:p>
        </w:tc>
        <w:tc>
          <w:tcPr>
            <w:tcW w:w="1133" w:type="dxa"/>
            <w:vAlign w:val="center"/>
          </w:tcPr>
          <w:p w14:paraId="2396D478"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214.680</w:t>
            </w:r>
          </w:p>
        </w:tc>
      </w:tr>
      <w:tr w:rsidR="009F762E" w:rsidRPr="00242DFB" w14:paraId="010DD104" w14:textId="77777777" w:rsidTr="00894C96">
        <w:trPr>
          <w:cantSplit/>
          <w:trHeight w:val="335"/>
          <w:jc w:val="center"/>
        </w:trPr>
        <w:tc>
          <w:tcPr>
            <w:tcW w:w="1826" w:type="dxa"/>
            <w:vAlign w:val="center"/>
          </w:tcPr>
          <w:p w14:paraId="7E1F08AD" w14:textId="77777777" w:rsidR="009F762E" w:rsidRPr="00242DFB" w:rsidRDefault="00000000" w:rsidP="002A0E52">
            <w:pPr>
              <w:spacing w:line="360" w:lineRule="auto"/>
              <w:jc w:val="center"/>
              <w:rPr>
                <w:rFonts w:ascii="Arial" w:hAnsi="Arial" w:cs="Arial"/>
                <w:color w:val="000000" w:themeColor="text1"/>
                <w:sz w:val="22"/>
                <w:szCs w:val="22"/>
              </w:rPr>
            </w:pPr>
            <w:r w:rsidRPr="00242DFB">
              <w:rPr>
                <w:rFonts w:ascii="Arial" w:hAnsi="Arial" w:cs="Arial"/>
                <w:color w:val="000000" w:themeColor="text1"/>
                <w:kern w:val="2"/>
                <w:sz w:val="22"/>
                <w:szCs w:val="22"/>
              </w:rPr>
              <w:t>Artritis</w:t>
            </w:r>
          </w:p>
        </w:tc>
        <w:tc>
          <w:tcPr>
            <w:tcW w:w="796" w:type="dxa"/>
            <w:vAlign w:val="center"/>
          </w:tcPr>
          <w:p w14:paraId="079CE0E4"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7.410</w:t>
            </w:r>
          </w:p>
        </w:tc>
        <w:tc>
          <w:tcPr>
            <w:tcW w:w="795" w:type="dxa"/>
            <w:vAlign w:val="center"/>
          </w:tcPr>
          <w:p w14:paraId="286C510A"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11.330</w:t>
            </w:r>
          </w:p>
        </w:tc>
        <w:tc>
          <w:tcPr>
            <w:tcW w:w="794" w:type="dxa"/>
            <w:vAlign w:val="center"/>
          </w:tcPr>
          <w:p w14:paraId="5E6DA7AD"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7.659</w:t>
            </w:r>
          </w:p>
        </w:tc>
        <w:tc>
          <w:tcPr>
            <w:tcW w:w="795" w:type="dxa"/>
            <w:vAlign w:val="center"/>
          </w:tcPr>
          <w:p w14:paraId="2FC676C8"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6.691</w:t>
            </w:r>
          </w:p>
        </w:tc>
        <w:tc>
          <w:tcPr>
            <w:tcW w:w="795" w:type="dxa"/>
            <w:vAlign w:val="center"/>
          </w:tcPr>
          <w:p w14:paraId="6BC7B5D0"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7.590</w:t>
            </w:r>
          </w:p>
        </w:tc>
        <w:tc>
          <w:tcPr>
            <w:tcW w:w="796" w:type="dxa"/>
            <w:vAlign w:val="center"/>
          </w:tcPr>
          <w:p w14:paraId="6796E0A0"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3.016</w:t>
            </w:r>
          </w:p>
        </w:tc>
        <w:tc>
          <w:tcPr>
            <w:tcW w:w="795" w:type="dxa"/>
            <w:vAlign w:val="center"/>
          </w:tcPr>
          <w:p w14:paraId="223441E7"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8.423</w:t>
            </w:r>
          </w:p>
        </w:tc>
        <w:tc>
          <w:tcPr>
            <w:tcW w:w="794" w:type="dxa"/>
            <w:vAlign w:val="center"/>
          </w:tcPr>
          <w:p w14:paraId="49D10459"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8.310</w:t>
            </w:r>
          </w:p>
        </w:tc>
        <w:tc>
          <w:tcPr>
            <w:tcW w:w="795" w:type="dxa"/>
            <w:vAlign w:val="center"/>
          </w:tcPr>
          <w:p w14:paraId="72A0A478"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8.955</w:t>
            </w:r>
          </w:p>
        </w:tc>
        <w:tc>
          <w:tcPr>
            <w:tcW w:w="796" w:type="dxa"/>
            <w:vAlign w:val="center"/>
          </w:tcPr>
          <w:p w14:paraId="17D27D24"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9.868</w:t>
            </w:r>
          </w:p>
        </w:tc>
        <w:tc>
          <w:tcPr>
            <w:tcW w:w="1133" w:type="dxa"/>
            <w:vAlign w:val="center"/>
          </w:tcPr>
          <w:p w14:paraId="01179723"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79.252</w:t>
            </w:r>
          </w:p>
        </w:tc>
      </w:tr>
      <w:tr w:rsidR="009F762E" w:rsidRPr="00242DFB" w14:paraId="0FFBADCA" w14:textId="77777777" w:rsidTr="00894C96">
        <w:trPr>
          <w:cantSplit/>
          <w:trHeight w:val="335"/>
          <w:jc w:val="center"/>
        </w:trPr>
        <w:tc>
          <w:tcPr>
            <w:tcW w:w="1826" w:type="dxa"/>
            <w:vAlign w:val="center"/>
          </w:tcPr>
          <w:p w14:paraId="0A183BE2" w14:textId="77777777" w:rsidR="009F762E" w:rsidRPr="00242DFB" w:rsidRDefault="00000000" w:rsidP="002A0E52">
            <w:pPr>
              <w:spacing w:line="360" w:lineRule="auto"/>
              <w:jc w:val="center"/>
              <w:rPr>
                <w:rFonts w:ascii="Arial" w:hAnsi="Arial" w:cs="Arial"/>
                <w:color w:val="000000" w:themeColor="text1"/>
                <w:sz w:val="22"/>
                <w:szCs w:val="22"/>
              </w:rPr>
            </w:pPr>
            <w:r w:rsidRPr="00242DFB">
              <w:rPr>
                <w:rFonts w:ascii="Arial" w:hAnsi="Arial" w:cs="Arial"/>
                <w:color w:val="000000" w:themeColor="text1"/>
                <w:kern w:val="2"/>
                <w:sz w:val="22"/>
                <w:szCs w:val="22"/>
              </w:rPr>
              <w:t>VIH</w:t>
            </w:r>
          </w:p>
        </w:tc>
        <w:tc>
          <w:tcPr>
            <w:tcW w:w="796" w:type="dxa"/>
            <w:vAlign w:val="center"/>
          </w:tcPr>
          <w:p w14:paraId="5EBDF945"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2.890</w:t>
            </w:r>
          </w:p>
        </w:tc>
        <w:tc>
          <w:tcPr>
            <w:tcW w:w="795" w:type="dxa"/>
            <w:vAlign w:val="center"/>
          </w:tcPr>
          <w:p w14:paraId="3910A50E"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3.786</w:t>
            </w:r>
          </w:p>
        </w:tc>
        <w:tc>
          <w:tcPr>
            <w:tcW w:w="794" w:type="dxa"/>
            <w:vAlign w:val="center"/>
          </w:tcPr>
          <w:p w14:paraId="4E98D46A"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2.940</w:t>
            </w:r>
          </w:p>
        </w:tc>
        <w:tc>
          <w:tcPr>
            <w:tcW w:w="795" w:type="dxa"/>
            <w:vAlign w:val="center"/>
          </w:tcPr>
          <w:p w14:paraId="5819C78A"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2.409</w:t>
            </w:r>
          </w:p>
        </w:tc>
        <w:tc>
          <w:tcPr>
            <w:tcW w:w="795" w:type="dxa"/>
            <w:vAlign w:val="center"/>
          </w:tcPr>
          <w:p w14:paraId="7008DB96"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2.471</w:t>
            </w:r>
          </w:p>
        </w:tc>
        <w:tc>
          <w:tcPr>
            <w:tcW w:w="796" w:type="dxa"/>
            <w:vAlign w:val="center"/>
          </w:tcPr>
          <w:p w14:paraId="1EDCFD42"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2.678</w:t>
            </w:r>
          </w:p>
        </w:tc>
        <w:tc>
          <w:tcPr>
            <w:tcW w:w="795" w:type="dxa"/>
            <w:vAlign w:val="center"/>
          </w:tcPr>
          <w:p w14:paraId="1EEC98E2"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3.278</w:t>
            </w:r>
          </w:p>
        </w:tc>
        <w:tc>
          <w:tcPr>
            <w:tcW w:w="794" w:type="dxa"/>
            <w:vAlign w:val="center"/>
          </w:tcPr>
          <w:p w14:paraId="75B1C9A6"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2.806</w:t>
            </w:r>
          </w:p>
        </w:tc>
        <w:tc>
          <w:tcPr>
            <w:tcW w:w="795" w:type="dxa"/>
            <w:vAlign w:val="center"/>
          </w:tcPr>
          <w:p w14:paraId="4091E44F"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3.181</w:t>
            </w:r>
          </w:p>
        </w:tc>
        <w:tc>
          <w:tcPr>
            <w:tcW w:w="796" w:type="dxa"/>
            <w:vAlign w:val="center"/>
          </w:tcPr>
          <w:p w14:paraId="37F0800B"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3.096</w:t>
            </w:r>
          </w:p>
        </w:tc>
        <w:tc>
          <w:tcPr>
            <w:tcW w:w="1133" w:type="dxa"/>
            <w:vAlign w:val="center"/>
          </w:tcPr>
          <w:p w14:paraId="206CFB91"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29.535</w:t>
            </w:r>
          </w:p>
        </w:tc>
      </w:tr>
      <w:tr w:rsidR="009F762E" w:rsidRPr="00242DFB" w14:paraId="5A36FFA2" w14:textId="77777777" w:rsidTr="00894C96">
        <w:trPr>
          <w:cantSplit/>
          <w:trHeight w:val="335"/>
          <w:jc w:val="center"/>
        </w:trPr>
        <w:tc>
          <w:tcPr>
            <w:tcW w:w="1826" w:type="dxa"/>
            <w:vAlign w:val="center"/>
          </w:tcPr>
          <w:p w14:paraId="4546D621" w14:textId="77777777" w:rsidR="009F762E" w:rsidRPr="00242DFB" w:rsidRDefault="00000000" w:rsidP="002A0E52">
            <w:pPr>
              <w:spacing w:line="360" w:lineRule="auto"/>
              <w:jc w:val="center"/>
              <w:rPr>
                <w:rFonts w:ascii="Arial" w:hAnsi="Arial" w:cs="Arial"/>
                <w:color w:val="000000" w:themeColor="text1"/>
                <w:sz w:val="22"/>
                <w:szCs w:val="22"/>
              </w:rPr>
            </w:pPr>
            <w:r w:rsidRPr="00242DFB">
              <w:rPr>
                <w:rFonts w:ascii="Arial" w:hAnsi="Arial" w:cs="Arial"/>
                <w:color w:val="000000" w:themeColor="text1"/>
                <w:kern w:val="2"/>
                <w:sz w:val="22"/>
                <w:szCs w:val="22"/>
              </w:rPr>
              <w:t>ERC</w:t>
            </w:r>
          </w:p>
        </w:tc>
        <w:tc>
          <w:tcPr>
            <w:tcW w:w="796" w:type="dxa"/>
            <w:vAlign w:val="center"/>
          </w:tcPr>
          <w:p w14:paraId="49918F39"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2.691</w:t>
            </w:r>
          </w:p>
        </w:tc>
        <w:tc>
          <w:tcPr>
            <w:tcW w:w="795" w:type="dxa"/>
            <w:vAlign w:val="center"/>
          </w:tcPr>
          <w:p w14:paraId="70305260"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3.707</w:t>
            </w:r>
          </w:p>
        </w:tc>
        <w:tc>
          <w:tcPr>
            <w:tcW w:w="794" w:type="dxa"/>
            <w:vAlign w:val="center"/>
          </w:tcPr>
          <w:p w14:paraId="08D51075"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2.637</w:t>
            </w:r>
          </w:p>
        </w:tc>
        <w:tc>
          <w:tcPr>
            <w:tcW w:w="795" w:type="dxa"/>
            <w:vAlign w:val="center"/>
          </w:tcPr>
          <w:p w14:paraId="70E51B6A"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2.171</w:t>
            </w:r>
          </w:p>
        </w:tc>
        <w:tc>
          <w:tcPr>
            <w:tcW w:w="795" w:type="dxa"/>
            <w:vAlign w:val="center"/>
          </w:tcPr>
          <w:p w14:paraId="20599337"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2.228</w:t>
            </w:r>
          </w:p>
        </w:tc>
        <w:tc>
          <w:tcPr>
            <w:tcW w:w="796" w:type="dxa"/>
            <w:vAlign w:val="center"/>
          </w:tcPr>
          <w:p w14:paraId="2771796D"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2.276</w:t>
            </w:r>
          </w:p>
        </w:tc>
        <w:tc>
          <w:tcPr>
            <w:tcW w:w="795" w:type="dxa"/>
            <w:vAlign w:val="center"/>
          </w:tcPr>
          <w:p w14:paraId="474C1946"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2.942</w:t>
            </w:r>
          </w:p>
        </w:tc>
        <w:tc>
          <w:tcPr>
            <w:tcW w:w="794" w:type="dxa"/>
            <w:vAlign w:val="center"/>
          </w:tcPr>
          <w:p w14:paraId="4D7261A1"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2.759</w:t>
            </w:r>
          </w:p>
        </w:tc>
        <w:tc>
          <w:tcPr>
            <w:tcW w:w="795" w:type="dxa"/>
            <w:vAlign w:val="center"/>
          </w:tcPr>
          <w:p w14:paraId="3818371A"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3.041</w:t>
            </w:r>
          </w:p>
        </w:tc>
        <w:tc>
          <w:tcPr>
            <w:tcW w:w="796" w:type="dxa"/>
            <w:vAlign w:val="center"/>
          </w:tcPr>
          <w:p w14:paraId="1406C394"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3.184</w:t>
            </w:r>
          </w:p>
        </w:tc>
        <w:tc>
          <w:tcPr>
            <w:tcW w:w="1133" w:type="dxa"/>
            <w:vAlign w:val="center"/>
          </w:tcPr>
          <w:p w14:paraId="6289C427"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27.636</w:t>
            </w:r>
          </w:p>
        </w:tc>
      </w:tr>
      <w:tr w:rsidR="009F762E" w:rsidRPr="00242DFB" w14:paraId="71B98617" w14:textId="77777777" w:rsidTr="00894C96">
        <w:trPr>
          <w:cantSplit/>
          <w:trHeight w:val="559"/>
          <w:jc w:val="center"/>
        </w:trPr>
        <w:tc>
          <w:tcPr>
            <w:tcW w:w="1826" w:type="dxa"/>
            <w:vAlign w:val="center"/>
          </w:tcPr>
          <w:p w14:paraId="0AF9C02C" w14:textId="77777777" w:rsidR="009F762E" w:rsidRPr="00242DFB" w:rsidRDefault="00000000" w:rsidP="002A0E52">
            <w:pPr>
              <w:spacing w:line="360" w:lineRule="auto"/>
              <w:jc w:val="center"/>
              <w:rPr>
                <w:rFonts w:ascii="Arial" w:hAnsi="Arial" w:cs="Arial"/>
                <w:color w:val="000000" w:themeColor="text1"/>
                <w:sz w:val="22"/>
                <w:szCs w:val="22"/>
              </w:rPr>
            </w:pPr>
            <w:r w:rsidRPr="00242DFB">
              <w:rPr>
                <w:rFonts w:ascii="Arial" w:hAnsi="Arial" w:cs="Arial"/>
                <w:color w:val="000000" w:themeColor="text1"/>
                <w:kern w:val="2"/>
                <w:sz w:val="22"/>
                <w:szCs w:val="22"/>
              </w:rPr>
              <w:t>Huérfanas</w:t>
            </w:r>
          </w:p>
        </w:tc>
        <w:tc>
          <w:tcPr>
            <w:tcW w:w="796" w:type="dxa"/>
            <w:vAlign w:val="center"/>
          </w:tcPr>
          <w:p w14:paraId="2A4E150D"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1347</w:t>
            </w:r>
          </w:p>
        </w:tc>
        <w:tc>
          <w:tcPr>
            <w:tcW w:w="795" w:type="dxa"/>
            <w:vAlign w:val="center"/>
          </w:tcPr>
          <w:p w14:paraId="108A6EFD"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1.961</w:t>
            </w:r>
          </w:p>
        </w:tc>
        <w:tc>
          <w:tcPr>
            <w:tcW w:w="794" w:type="dxa"/>
            <w:vAlign w:val="center"/>
          </w:tcPr>
          <w:p w14:paraId="29D09C87"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1.522</w:t>
            </w:r>
          </w:p>
        </w:tc>
        <w:tc>
          <w:tcPr>
            <w:tcW w:w="795" w:type="dxa"/>
            <w:vAlign w:val="center"/>
          </w:tcPr>
          <w:p w14:paraId="4311BEDC"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1.164</w:t>
            </w:r>
          </w:p>
        </w:tc>
        <w:tc>
          <w:tcPr>
            <w:tcW w:w="795" w:type="dxa"/>
            <w:vAlign w:val="center"/>
          </w:tcPr>
          <w:p w14:paraId="1AD3D345"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1.386</w:t>
            </w:r>
          </w:p>
        </w:tc>
        <w:tc>
          <w:tcPr>
            <w:tcW w:w="796" w:type="dxa"/>
            <w:vAlign w:val="center"/>
          </w:tcPr>
          <w:p w14:paraId="4B5CAD45"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1.028</w:t>
            </w:r>
          </w:p>
        </w:tc>
        <w:tc>
          <w:tcPr>
            <w:tcW w:w="795" w:type="dxa"/>
            <w:vAlign w:val="center"/>
          </w:tcPr>
          <w:p w14:paraId="3D701A8A"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1.577</w:t>
            </w:r>
          </w:p>
        </w:tc>
        <w:tc>
          <w:tcPr>
            <w:tcW w:w="794" w:type="dxa"/>
            <w:vAlign w:val="center"/>
          </w:tcPr>
          <w:p w14:paraId="10B6FE3F"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1.538</w:t>
            </w:r>
          </w:p>
        </w:tc>
        <w:tc>
          <w:tcPr>
            <w:tcW w:w="795" w:type="dxa"/>
            <w:vAlign w:val="center"/>
          </w:tcPr>
          <w:p w14:paraId="57446FC2"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1.634</w:t>
            </w:r>
          </w:p>
        </w:tc>
        <w:tc>
          <w:tcPr>
            <w:tcW w:w="796" w:type="dxa"/>
            <w:vAlign w:val="center"/>
          </w:tcPr>
          <w:p w14:paraId="77803A24"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1.585</w:t>
            </w:r>
          </w:p>
        </w:tc>
        <w:tc>
          <w:tcPr>
            <w:tcW w:w="1133" w:type="dxa"/>
            <w:vAlign w:val="center"/>
          </w:tcPr>
          <w:p w14:paraId="0D438106"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14.742</w:t>
            </w:r>
          </w:p>
        </w:tc>
      </w:tr>
      <w:tr w:rsidR="009F762E" w:rsidRPr="00242DFB" w14:paraId="74B9A7DA" w14:textId="77777777" w:rsidTr="00894C96">
        <w:trPr>
          <w:cantSplit/>
          <w:trHeight w:val="559"/>
          <w:jc w:val="center"/>
        </w:trPr>
        <w:tc>
          <w:tcPr>
            <w:tcW w:w="1826" w:type="dxa"/>
            <w:vAlign w:val="center"/>
          </w:tcPr>
          <w:p w14:paraId="755A020F" w14:textId="77777777" w:rsidR="009F762E" w:rsidRPr="00242DFB" w:rsidRDefault="00000000" w:rsidP="002A0E52">
            <w:pPr>
              <w:spacing w:line="360" w:lineRule="auto"/>
              <w:jc w:val="center"/>
              <w:rPr>
                <w:rFonts w:ascii="Arial" w:hAnsi="Arial" w:cs="Arial"/>
                <w:color w:val="000000" w:themeColor="text1"/>
                <w:sz w:val="22"/>
                <w:szCs w:val="22"/>
              </w:rPr>
            </w:pPr>
            <w:r w:rsidRPr="00242DFB">
              <w:rPr>
                <w:rFonts w:ascii="Arial" w:hAnsi="Arial" w:cs="Arial"/>
                <w:color w:val="000000" w:themeColor="text1"/>
                <w:kern w:val="2"/>
                <w:sz w:val="22"/>
                <w:szCs w:val="22"/>
              </w:rPr>
              <w:t>Hepatitis c</w:t>
            </w:r>
          </w:p>
        </w:tc>
        <w:tc>
          <w:tcPr>
            <w:tcW w:w="796" w:type="dxa"/>
            <w:vAlign w:val="center"/>
          </w:tcPr>
          <w:p w14:paraId="190DF442"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95</w:t>
            </w:r>
          </w:p>
        </w:tc>
        <w:tc>
          <w:tcPr>
            <w:tcW w:w="795" w:type="dxa"/>
            <w:vAlign w:val="center"/>
          </w:tcPr>
          <w:p w14:paraId="476056BA"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112</w:t>
            </w:r>
          </w:p>
        </w:tc>
        <w:tc>
          <w:tcPr>
            <w:tcW w:w="794" w:type="dxa"/>
            <w:vAlign w:val="center"/>
          </w:tcPr>
          <w:p w14:paraId="55EBF3BD"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90</w:t>
            </w:r>
          </w:p>
        </w:tc>
        <w:tc>
          <w:tcPr>
            <w:tcW w:w="795" w:type="dxa"/>
            <w:vAlign w:val="center"/>
          </w:tcPr>
          <w:p w14:paraId="57F26F27"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86</w:t>
            </w:r>
          </w:p>
        </w:tc>
        <w:tc>
          <w:tcPr>
            <w:tcW w:w="795" w:type="dxa"/>
            <w:vAlign w:val="center"/>
          </w:tcPr>
          <w:p w14:paraId="0A9F0EAD"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77</w:t>
            </w:r>
          </w:p>
        </w:tc>
        <w:tc>
          <w:tcPr>
            <w:tcW w:w="796" w:type="dxa"/>
            <w:vAlign w:val="center"/>
          </w:tcPr>
          <w:p w14:paraId="1302BEB8"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74</w:t>
            </w:r>
          </w:p>
        </w:tc>
        <w:tc>
          <w:tcPr>
            <w:tcW w:w="795" w:type="dxa"/>
            <w:vAlign w:val="center"/>
          </w:tcPr>
          <w:p w14:paraId="6B5B5156"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72</w:t>
            </w:r>
          </w:p>
        </w:tc>
        <w:tc>
          <w:tcPr>
            <w:tcW w:w="794" w:type="dxa"/>
            <w:vAlign w:val="center"/>
          </w:tcPr>
          <w:p w14:paraId="294C4ECC"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92</w:t>
            </w:r>
          </w:p>
        </w:tc>
        <w:tc>
          <w:tcPr>
            <w:tcW w:w="795" w:type="dxa"/>
            <w:vAlign w:val="center"/>
          </w:tcPr>
          <w:p w14:paraId="6F77BA01"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103</w:t>
            </w:r>
          </w:p>
        </w:tc>
        <w:tc>
          <w:tcPr>
            <w:tcW w:w="796" w:type="dxa"/>
            <w:vAlign w:val="center"/>
          </w:tcPr>
          <w:p w14:paraId="5F27A6A8"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107</w:t>
            </w:r>
          </w:p>
        </w:tc>
        <w:tc>
          <w:tcPr>
            <w:tcW w:w="1133" w:type="dxa"/>
            <w:vAlign w:val="center"/>
          </w:tcPr>
          <w:p w14:paraId="0F316343"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908</w:t>
            </w:r>
          </w:p>
        </w:tc>
      </w:tr>
      <w:tr w:rsidR="009F762E" w:rsidRPr="00242DFB" w14:paraId="02720240" w14:textId="77777777" w:rsidTr="00894C96">
        <w:trPr>
          <w:cantSplit/>
          <w:trHeight w:val="559"/>
          <w:jc w:val="center"/>
        </w:trPr>
        <w:tc>
          <w:tcPr>
            <w:tcW w:w="1826" w:type="dxa"/>
            <w:vAlign w:val="center"/>
          </w:tcPr>
          <w:p w14:paraId="11693DF9" w14:textId="77777777" w:rsidR="009F762E" w:rsidRPr="00242DFB" w:rsidRDefault="00000000" w:rsidP="002A0E52">
            <w:pPr>
              <w:spacing w:line="360" w:lineRule="auto"/>
              <w:jc w:val="center"/>
              <w:rPr>
                <w:rFonts w:ascii="Arial" w:hAnsi="Arial" w:cs="Arial"/>
                <w:color w:val="000000" w:themeColor="text1"/>
                <w:sz w:val="22"/>
                <w:szCs w:val="22"/>
              </w:rPr>
            </w:pPr>
            <w:r w:rsidRPr="00242DFB">
              <w:rPr>
                <w:rFonts w:ascii="Arial" w:hAnsi="Arial" w:cs="Arial"/>
                <w:color w:val="000000" w:themeColor="text1"/>
                <w:kern w:val="2"/>
                <w:sz w:val="22"/>
                <w:szCs w:val="22"/>
              </w:rPr>
              <w:t>Trasplantados</w:t>
            </w:r>
          </w:p>
        </w:tc>
        <w:tc>
          <w:tcPr>
            <w:tcW w:w="796" w:type="dxa"/>
            <w:vAlign w:val="center"/>
          </w:tcPr>
          <w:p w14:paraId="0D7B42F7"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93</w:t>
            </w:r>
          </w:p>
        </w:tc>
        <w:tc>
          <w:tcPr>
            <w:tcW w:w="795" w:type="dxa"/>
            <w:vAlign w:val="center"/>
          </w:tcPr>
          <w:p w14:paraId="4CC4B879"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115</w:t>
            </w:r>
          </w:p>
        </w:tc>
        <w:tc>
          <w:tcPr>
            <w:tcW w:w="794" w:type="dxa"/>
            <w:vAlign w:val="center"/>
          </w:tcPr>
          <w:p w14:paraId="31E5E362"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43</w:t>
            </w:r>
          </w:p>
        </w:tc>
        <w:tc>
          <w:tcPr>
            <w:tcW w:w="795" w:type="dxa"/>
            <w:vAlign w:val="center"/>
          </w:tcPr>
          <w:p w14:paraId="5B50EFE1"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70</w:t>
            </w:r>
          </w:p>
        </w:tc>
        <w:tc>
          <w:tcPr>
            <w:tcW w:w="795" w:type="dxa"/>
            <w:vAlign w:val="center"/>
          </w:tcPr>
          <w:p w14:paraId="4B0F7D4E"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66</w:t>
            </w:r>
          </w:p>
        </w:tc>
        <w:tc>
          <w:tcPr>
            <w:tcW w:w="796" w:type="dxa"/>
            <w:vAlign w:val="center"/>
          </w:tcPr>
          <w:p w14:paraId="2C46E8C3"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39</w:t>
            </w:r>
          </w:p>
        </w:tc>
        <w:tc>
          <w:tcPr>
            <w:tcW w:w="795" w:type="dxa"/>
            <w:vAlign w:val="center"/>
          </w:tcPr>
          <w:p w14:paraId="375C48FF"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59</w:t>
            </w:r>
          </w:p>
        </w:tc>
        <w:tc>
          <w:tcPr>
            <w:tcW w:w="794" w:type="dxa"/>
            <w:vAlign w:val="center"/>
          </w:tcPr>
          <w:p w14:paraId="6A693567"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59</w:t>
            </w:r>
          </w:p>
        </w:tc>
        <w:tc>
          <w:tcPr>
            <w:tcW w:w="795" w:type="dxa"/>
            <w:vAlign w:val="center"/>
          </w:tcPr>
          <w:p w14:paraId="6132974B"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67</w:t>
            </w:r>
          </w:p>
        </w:tc>
        <w:tc>
          <w:tcPr>
            <w:tcW w:w="796" w:type="dxa"/>
            <w:vAlign w:val="center"/>
          </w:tcPr>
          <w:p w14:paraId="6CE30125"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60</w:t>
            </w:r>
          </w:p>
        </w:tc>
        <w:tc>
          <w:tcPr>
            <w:tcW w:w="1133" w:type="dxa"/>
            <w:vAlign w:val="center"/>
          </w:tcPr>
          <w:p w14:paraId="5BAFCDAB"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671</w:t>
            </w:r>
          </w:p>
        </w:tc>
      </w:tr>
      <w:tr w:rsidR="009F762E" w:rsidRPr="00242DFB" w14:paraId="63CBDB85" w14:textId="77777777" w:rsidTr="00894C96">
        <w:trPr>
          <w:cantSplit/>
          <w:trHeight w:val="335"/>
          <w:jc w:val="center"/>
        </w:trPr>
        <w:tc>
          <w:tcPr>
            <w:tcW w:w="1826" w:type="dxa"/>
            <w:vAlign w:val="center"/>
          </w:tcPr>
          <w:p w14:paraId="6ACCFEA7" w14:textId="77777777" w:rsidR="009F762E" w:rsidRPr="00242DFB" w:rsidRDefault="00000000" w:rsidP="002A0E52">
            <w:pPr>
              <w:spacing w:line="360" w:lineRule="auto"/>
              <w:jc w:val="center"/>
              <w:rPr>
                <w:rFonts w:ascii="Arial" w:hAnsi="Arial" w:cs="Arial"/>
                <w:color w:val="000000" w:themeColor="text1"/>
                <w:sz w:val="22"/>
                <w:szCs w:val="22"/>
              </w:rPr>
            </w:pPr>
            <w:r w:rsidRPr="00242DFB">
              <w:rPr>
                <w:rFonts w:ascii="Arial" w:hAnsi="Arial" w:cs="Arial"/>
                <w:color w:val="000000" w:themeColor="text1"/>
                <w:kern w:val="2"/>
                <w:sz w:val="22"/>
                <w:szCs w:val="22"/>
              </w:rPr>
              <w:t>Hemofilia</w:t>
            </w:r>
          </w:p>
        </w:tc>
        <w:tc>
          <w:tcPr>
            <w:tcW w:w="796" w:type="dxa"/>
            <w:vAlign w:val="center"/>
          </w:tcPr>
          <w:p w14:paraId="55524FB8"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25</w:t>
            </w:r>
          </w:p>
        </w:tc>
        <w:tc>
          <w:tcPr>
            <w:tcW w:w="795" w:type="dxa"/>
            <w:vAlign w:val="center"/>
          </w:tcPr>
          <w:p w14:paraId="51C92AC5"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41</w:t>
            </w:r>
          </w:p>
        </w:tc>
        <w:tc>
          <w:tcPr>
            <w:tcW w:w="794" w:type="dxa"/>
            <w:vAlign w:val="center"/>
          </w:tcPr>
          <w:p w14:paraId="2D7ABB1B"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22</w:t>
            </w:r>
          </w:p>
        </w:tc>
        <w:tc>
          <w:tcPr>
            <w:tcW w:w="795" w:type="dxa"/>
            <w:vAlign w:val="center"/>
          </w:tcPr>
          <w:p w14:paraId="5868D818"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13</w:t>
            </w:r>
          </w:p>
        </w:tc>
        <w:tc>
          <w:tcPr>
            <w:tcW w:w="795" w:type="dxa"/>
            <w:vAlign w:val="center"/>
          </w:tcPr>
          <w:p w14:paraId="4936F007"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25</w:t>
            </w:r>
          </w:p>
        </w:tc>
        <w:tc>
          <w:tcPr>
            <w:tcW w:w="796" w:type="dxa"/>
            <w:vAlign w:val="center"/>
          </w:tcPr>
          <w:p w14:paraId="5BA3182E"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14</w:t>
            </w:r>
          </w:p>
        </w:tc>
        <w:tc>
          <w:tcPr>
            <w:tcW w:w="795" w:type="dxa"/>
            <w:vAlign w:val="center"/>
          </w:tcPr>
          <w:p w14:paraId="1AE37C2C"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24</w:t>
            </w:r>
          </w:p>
        </w:tc>
        <w:tc>
          <w:tcPr>
            <w:tcW w:w="794" w:type="dxa"/>
            <w:vAlign w:val="center"/>
          </w:tcPr>
          <w:p w14:paraId="241F6732"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19</w:t>
            </w:r>
          </w:p>
        </w:tc>
        <w:tc>
          <w:tcPr>
            <w:tcW w:w="795" w:type="dxa"/>
            <w:vAlign w:val="center"/>
          </w:tcPr>
          <w:p w14:paraId="63C6C061"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28</w:t>
            </w:r>
          </w:p>
        </w:tc>
        <w:tc>
          <w:tcPr>
            <w:tcW w:w="796" w:type="dxa"/>
            <w:vAlign w:val="center"/>
          </w:tcPr>
          <w:p w14:paraId="5ACF338F"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18</w:t>
            </w:r>
          </w:p>
        </w:tc>
        <w:tc>
          <w:tcPr>
            <w:tcW w:w="1133" w:type="dxa"/>
            <w:vAlign w:val="center"/>
          </w:tcPr>
          <w:p w14:paraId="59F9EB7C"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229</w:t>
            </w:r>
          </w:p>
        </w:tc>
      </w:tr>
    </w:tbl>
    <w:p w14:paraId="1EB1779A" w14:textId="77777777" w:rsidR="009F762E" w:rsidRPr="00242DFB" w:rsidRDefault="00000000" w:rsidP="00894C96">
      <w:pPr>
        <w:spacing w:line="360" w:lineRule="auto"/>
        <w:jc w:val="both"/>
        <w:rPr>
          <w:rFonts w:ascii="Arial" w:hAnsi="Arial" w:cs="Arial"/>
          <w:color w:val="000000" w:themeColor="text1"/>
          <w:sz w:val="16"/>
          <w:szCs w:val="16"/>
        </w:rPr>
      </w:pPr>
      <w:r w:rsidRPr="00242DFB">
        <w:rPr>
          <w:rFonts w:ascii="Arial" w:eastAsia="Arial" w:hAnsi="Arial" w:cs="Arial"/>
          <w:color w:val="000000"/>
          <w:sz w:val="16"/>
          <w:szCs w:val="16"/>
        </w:rPr>
        <w:t>Fuente: Capital Salud EPS-S. Respuesta al requerimiento No. 026-EE-54444 de la Subdirección de Garantía del Aseguramiento, mediante la cual se remite información de medicamentos solicitados por cohorte (serie mensual enero–octubre de 2025).</w:t>
      </w:r>
    </w:p>
    <w:p w14:paraId="19461335"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305B9DF0"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La información anteriormente expuesta permite evidenciar una alta concentración de la demanda farmacéutica en un número reducido de cohortes. Durante el periodo analizado, las cohortes de Cáncer y Artritis acumularon 293.932 solicitudes de medicamentos, equivalentes al 80,2 % del total registrado para las cohortes priorizadas. Este comportamiento indica que cualquier afectación en la gestión del suministro para estos grupos tendría un impacto significativo sobre los indicadores globales de oportunidad y continuidad en la dispensación, así como sobre la percepción de acceso de la población afiliada.</w:t>
      </w:r>
    </w:p>
    <w:p w14:paraId="45C6D72E" w14:textId="77777777" w:rsidR="009F762E" w:rsidRPr="00242DFB" w:rsidRDefault="009F762E" w:rsidP="002A0E52">
      <w:pPr>
        <w:spacing w:line="360" w:lineRule="auto"/>
        <w:jc w:val="both"/>
        <w:rPr>
          <w:rFonts w:ascii="Arial" w:hAnsi="Arial" w:cs="Arial"/>
          <w:color w:val="000000" w:themeColor="text1"/>
        </w:rPr>
      </w:pPr>
    </w:p>
    <w:p w14:paraId="7839D520"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Por otra parte, la disminución observada en las cohortes de Cáncer, Artritis, VIH y ERC durante abril sugiere la existencia de un comportamiento transversal que afecta simultáneamente a diferentes grupos poblacionales. Dado que la reducción no se limita a una cohorte específica, podría asociarse a factores institucionales, administrativos, operativos o de reporte, por lo que resulta pertinente verificar si durante dicho periodo se presentaron cambios contractuales, ajustes en los </w:t>
      </w:r>
      <w:r w:rsidRPr="00242DFB">
        <w:rPr>
          <w:rFonts w:ascii="Arial" w:eastAsia="Arial" w:hAnsi="Arial" w:cs="Arial"/>
          <w:color w:val="000000"/>
        </w:rPr>
        <w:lastRenderedPageBreak/>
        <w:t>mecanismos de registro, dificultades de abastecimiento o modificaciones en los procesos de autorización y dispensación.</w:t>
      </w:r>
    </w:p>
    <w:p w14:paraId="5DB22F86" w14:textId="77777777" w:rsidR="009F762E" w:rsidRPr="00242DFB" w:rsidRDefault="009F762E" w:rsidP="002A0E52">
      <w:pPr>
        <w:spacing w:line="360" w:lineRule="auto"/>
        <w:jc w:val="both"/>
        <w:rPr>
          <w:rFonts w:ascii="Arial" w:hAnsi="Arial" w:cs="Arial"/>
          <w:color w:val="000000" w:themeColor="text1"/>
        </w:rPr>
      </w:pPr>
    </w:p>
    <w:p w14:paraId="17D60E1C"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Asimismo, las cohortes de usuarios trasplantados, hemofilia y hepatitis C, aunque representan un menor volumen de solicitudes, corresponden a poblaciones con alta vulnerabilidad clínica y una elevada dependencia de tratamientos especializados. En consecuencia, cualquier interrupción o retraso en la entrega de medicamentos puede generar efectos terapéuticos considerables sobre la evolución clínica de estos pacientes, razón por la cual su seguimiento debe realizarse no solo desde la cantidad de solicitudes, sino también desde la garantía de continuidad terapéutica.</w:t>
      </w:r>
    </w:p>
    <w:p w14:paraId="09E80744" w14:textId="77777777" w:rsidR="009F762E" w:rsidRPr="00242DFB" w:rsidRDefault="009F762E" w:rsidP="002A0E52">
      <w:pPr>
        <w:spacing w:line="360" w:lineRule="auto"/>
        <w:jc w:val="both"/>
        <w:rPr>
          <w:rFonts w:ascii="Arial" w:hAnsi="Arial" w:cs="Arial"/>
          <w:color w:val="000000" w:themeColor="text1"/>
        </w:rPr>
      </w:pPr>
    </w:p>
    <w:p w14:paraId="256B6CEF"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Finalmente, el incremento progresivo de solicitudes registrado en el septiembre y octubre del periodo analizado evidencia la necesidad de que la EPS y su operador farmacéutico cuenten con mecanismos de planeación, abastecimiento y gestión de inventarios suficientemente robustos para responder a escenarios de mayor demanda. La ausencia de una capacidad de respuesta acorde con este crecimiento podría traducirse en aumento de pendientes de entrega, traducidos en riesgos para la continuidad de los tratamientos de la población afiliada.</w:t>
      </w:r>
    </w:p>
    <w:p w14:paraId="253ECD44"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43E09650" w14:textId="771F3196" w:rsidR="00894C96" w:rsidRPr="00242DFB" w:rsidRDefault="00894C96" w:rsidP="00894C96">
      <w:pPr>
        <w:pStyle w:val="Descripcin"/>
        <w:keepNext/>
        <w:jc w:val="center"/>
        <w:rPr>
          <w:rFonts w:ascii="Arial" w:hAnsi="Arial" w:cs="Arial"/>
          <w:color w:val="000000" w:themeColor="text1"/>
          <w:sz w:val="24"/>
          <w:szCs w:val="24"/>
        </w:rPr>
      </w:pPr>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20</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Medicamentos pendientes por cohorte priorizada, serie mensual enero-octubre de 2025</w:t>
      </w:r>
    </w:p>
    <w:tbl>
      <w:tblPr>
        <w:tblStyle w:val="Tablaconcuadrcula"/>
        <w:tblW w:w="10120" w:type="dxa"/>
        <w:jc w:val="center"/>
        <w:tblLayout w:type="fixed"/>
        <w:tblLook w:val="06A0" w:firstRow="1" w:lastRow="0" w:firstColumn="1" w:lastColumn="0" w:noHBand="1" w:noVBand="1"/>
      </w:tblPr>
      <w:tblGrid>
        <w:gridCol w:w="1922"/>
        <w:gridCol w:w="730"/>
        <w:gridCol w:w="732"/>
        <w:gridCol w:w="733"/>
        <w:gridCol w:w="732"/>
        <w:gridCol w:w="732"/>
        <w:gridCol w:w="731"/>
        <w:gridCol w:w="732"/>
        <w:gridCol w:w="732"/>
        <w:gridCol w:w="733"/>
        <w:gridCol w:w="732"/>
        <w:gridCol w:w="873"/>
        <w:gridCol w:w="6"/>
      </w:tblGrid>
      <w:tr w:rsidR="009F762E" w:rsidRPr="00242DFB" w14:paraId="2AC59324" w14:textId="77777777" w:rsidTr="00894C96">
        <w:trPr>
          <w:cantSplit/>
          <w:trHeight w:val="231"/>
          <w:jc w:val="center"/>
        </w:trPr>
        <w:tc>
          <w:tcPr>
            <w:tcW w:w="1922" w:type="dxa"/>
            <w:vMerge w:val="restart"/>
            <w:vAlign w:val="center"/>
          </w:tcPr>
          <w:p w14:paraId="681AF16A"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 xml:space="preserve">Cohorte </w:t>
            </w:r>
          </w:p>
        </w:tc>
        <w:tc>
          <w:tcPr>
            <w:tcW w:w="8198" w:type="dxa"/>
            <w:gridSpan w:val="12"/>
            <w:vAlign w:val="center"/>
          </w:tcPr>
          <w:p w14:paraId="6CAC5855" w14:textId="6E014EDA" w:rsidR="009F762E" w:rsidRPr="00242DFB" w:rsidRDefault="00894C96"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Total,</w:t>
            </w:r>
            <w:r w:rsidR="00000000" w:rsidRPr="00242DFB">
              <w:rPr>
                <w:rFonts w:ascii="Arial" w:eastAsia="Arial" w:hAnsi="Arial" w:cs="Arial"/>
                <w:b/>
                <w:bCs/>
                <w:color w:val="000000" w:themeColor="text1"/>
                <w:kern w:val="2"/>
              </w:rPr>
              <w:t xml:space="preserve"> de medicamentos pendientes</w:t>
            </w:r>
          </w:p>
        </w:tc>
      </w:tr>
      <w:tr w:rsidR="009F762E" w:rsidRPr="00242DFB" w14:paraId="412E9B26" w14:textId="77777777" w:rsidTr="00894C96">
        <w:trPr>
          <w:gridAfter w:val="1"/>
          <w:wAfter w:w="6" w:type="dxa"/>
          <w:cantSplit/>
          <w:trHeight w:val="273"/>
          <w:jc w:val="center"/>
        </w:trPr>
        <w:tc>
          <w:tcPr>
            <w:tcW w:w="1922" w:type="dxa"/>
            <w:vMerge/>
            <w:vAlign w:val="center"/>
          </w:tcPr>
          <w:p w14:paraId="78AA9308" w14:textId="77777777" w:rsidR="009F762E" w:rsidRPr="00242DFB" w:rsidRDefault="009F762E" w:rsidP="002A0E52">
            <w:pPr>
              <w:spacing w:line="360" w:lineRule="auto"/>
              <w:rPr>
                <w:rFonts w:ascii="Arial" w:hAnsi="Arial" w:cs="Arial"/>
                <w:color w:val="000000" w:themeColor="text1"/>
              </w:rPr>
            </w:pPr>
          </w:p>
        </w:tc>
        <w:tc>
          <w:tcPr>
            <w:tcW w:w="730" w:type="dxa"/>
            <w:vAlign w:val="center"/>
          </w:tcPr>
          <w:p w14:paraId="42D79AA2"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ene-25</w:t>
            </w:r>
          </w:p>
        </w:tc>
        <w:tc>
          <w:tcPr>
            <w:tcW w:w="732" w:type="dxa"/>
            <w:vAlign w:val="center"/>
          </w:tcPr>
          <w:p w14:paraId="64541516"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feb-25</w:t>
            </w:r>
          </w:p>
        </w:tc>
        <w:tc>
          <w:tcPr>
            <w:tcW w:w="733" w:type="dxa"/>
            <w:vAlign w:val="center"/>
          </w:tcPr>
          <w:p w14:paraId="08B9DDD7"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mar-25</w:t>
            </w:r>
          </w:p>
        </w:tc>
        <w:tc>
          <w:tcPr>
            <w:tcW w:w="732" w:type="dxa"/>
            <w:vAlign w:val="center"/>
          </w:tcPr>
          <w:p w14:paraId="5D802359"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abr-25</w:t>
            </w:r>
          </w:p>
        </w:tc>
        <w:tc>
          <w:tcPr>
            <w:tcW w:w="732" w:type="dxa"/>
            <w:vAlign w:val="center"/>
          </w:tcPr>
          <w:p w14:paraId="17D8E78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may-25</w:t>
            </w:r>
          </w:p>
        </w:tc>
        <w:tc>
          <w:tcPr>
            <w:tcW w:w="731" w:type="dxa"/>
            <w:vAlign w:val="center"/>
          </w:tcPr>
          <w:p w14:paraId="7737B402"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jun-25</w:t>
            </w:r>
          </w:p>
        </w:tc>
        <w:tc>
          <w:tcPr>
            <w:tcW w:w="732" w:type="dxa"/>
            <w:vAlign w:val="center"/>
          </w:tcPr>
          <w:p w14:paraId="2F019BE0"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jul-25</w:t>
            </w:r>
          </w:p>
        </w:tc>
        <w:tc>
          <w:tcPr>
            <w:tcW w:w="732" w:type="dxa"/>
            <w:vAlign w:val="center"/>
          </w:tcPr>
          <w:p w14:paraId="6BC5B09F"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ago-25</w:t>
            </w:r>
          </w:p>
        </w:tc>
        <w:tc>
          <w:tcPr>
            <w:tcW w:w="733" w:type="dxa"/>
            <w:vAlign w:val="center"/>
          </w:tcPr>
          <w:p w14:paraId="1A15B235"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sept-25</w:t>
            </w:r>
          </w:p>
        </w:tc>
        <w:tc>
          <w:tcPr>
            <w:tcW w:w="732" w:type="dxa"/>
            <w:vAlign w:val="center"/>
          </w:tcPr>
          <w:p w14:paraId="4D626B34"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oct-25</w:t>
            </w:r>
          </w:p>
        </w:tc>
        <w:tc>
          <w:tcPr>
            <w:tcW w:w="873" w:type="dxa"/>
            <w:vAlign w:val="center"/>
          </w:tcPr>
          <w:p w14:paraId="53B77C76"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TOTAL</w:t>
            </w:r>
          </w:p>
        </w:tc>
      </w:tr>
      <w:tr w:rsidR="009F762E" w:rsidRPr="00242DFB" w14:paraId="5D81F716" w14:textId="77777777" w:rsidTr="00894C96">
        <w:trPr>
          <w:gridAfter w:val="1"/>
          <w:wAfter w:w="6" w:type="dxa"/>
          <w:cantSplit/>
          <w:trHeight w:val="273"/>
          <w:jc w:val="center"/>
        </w:trPr>
        <w:tc>
          <w:tcPr>
            <w:tcW w:w="1922" w:type="dxa"/>
            <w:vAlign w:val="center"/>
          </w:tcPr>
          <w:p w14:paraId="3402EA4E"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Cáncer</w:t>
            </w:r>
          </w:p>
        </w:tc>
        <w:tc>
          <w:tcPr>
            <w:tcW w:w="730" w:type="dxa"/>
            <w:vAlign w:val="center"/>
          </w:tcPr>
          <w:p w14:paraId="6EE38295"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4.508</w:t>
            </w:r>
          </w:p>
        </w:tc>
        <w:tc>
          <w:tcPr>
            <w:tcW w:w="732" w:type="dxa"/>
            <w:vAlign w:val="center"/>
          </w:tcPr>
          <w:p w14:paraId="29157C93"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4.038</w:t>
            </w:r>
          </w:p>
        </w:tc>
        <w:tc>
          <w:tcPr>
            <w:tcW w:w="733" w:type="dxa"/>
            <w:vAlign w:val="center"/>
          </w:tcPr>
          <w:p w14:paraId="3858E35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5.894</w:t>
            </w:r>
          </w:p>
        </w:tc>
        <w:tc>
          <w:tcPr>
            <w:tcW w:w="732" w:type="dxa"/>
            <w:vAlign w:val="center"/>
          </w:tcPr>
          <w:p w14:paraId="4516C644"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5.133</w:t>
            </w:r>
          </w:p>
        </w:tc>
        <w:tc>
          <w:tcPr>
            <w:tcW w:w="732" w:type="dxa"/>
            <w:vAlign w:val="center"/>
          </w:tcPr>
          <w:p w14:paraId="15C0FEF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6.012</w:t>
            </w:r>
          </w:p>
        </w:tc>
        <w:tc>
          <w:tcPr>
            <w:tcW w:w="731" w:type="dxa"/>
            <w:vAlign w:val="center"/>
          </w:tcPr>
          <w:p w14:paraId="2802F30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3.335</w:t>
            </w:r>
          </w:p>
        </w:tc>
        <w:tc>
          <w:tcPr>
            <w:tcW w:w="732" w:type="dxa"/>
            <w:vAlign w:val="center"/>
          </w:tcPr>
          <w:p w14:paraId="1432E39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3.304</w:t>
            </w:r>
          </w:p>
        </w:tc>
        <w:tc>
          <w:tcPr>
            <w:tcW w:w="732" w:type="dxa"/>
            <w:vAlign w:val="center"/>
          </w:tcPr>
          <w:p w14:paraId="7F529FC0"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2.824</w:t>
            </w:r>
          </w:p>
        </w:tc>
        <w:tc>
          <w:tcPr>
            <w:tcW w:w="733" w:type="dxa"/>
            <w:vAlign w:val="center"/>
          </w:tcPr>
          <w:p w14:paraId="1FC77EE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3.722</w:t>
            </w:r>
          </w:p>
        </w:tc>
        <w:tc>
          <w:tcPr>
            <w:tcW w:w="732" w:type="dxa"/>
            <w:vAlign w:val="center"/>
          </w:tcPr>
          <w:p w14:paraId="435C9BB8"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2.702</w:t>
            </w:r>
          </w:p>
        </w:tc>
        <w:tc>
          <w:tcPr>
            <w:tcW w:w="873" w:type="dxa"/>
            <w:vAlign w:val="center"/>
          </w:tcPr>
          <w:p w14:paraId="52CEAAF9"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41.472</w:t>
            </w:r>
          </w:p>
        </w:tc>
      </w:tr>
      <w:tr w:rsidR="009F762E" w:rsidRPr="00242DFB" w14:paraId="209E6E0A" w14:textId="77777777" w:rsidTr="00894C96">
        <w:trPr>
          <w:gridAfter w:val="1"/>
          <w:wAfter w:w="6" w:type="dxa"/>
          <w:cantSplit/>
          <w:trHeight w:val="273"/>
          <w:jc w:val="center"/>
        </w:trPr>
        <w:tc>
          <w:tcPr>
            <w:tcW w:w="1922" w:type="dxa"/>
            <w:vAlign w:val="center"/>
          </w:tcPr>
          <w:p w14:paraId="5DF0DEA8"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Artritis</w:t>
            </w:r>
          </w:p>
        </w:tc>
        <w:tc>
          <w:tcPr>
            <w:tcW w:w="730" w:type="dxa"/>
            <w:vAlign w:val="center"/>
          </w:tcPr>
          <w:p w14:paraId="7C9AC0C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1.763</w:t>
            </w:r>
          </w:p>
        </w:tc>
        <w:tc>
          <w:tcPr>
            <w:tcW w:w="732" w:type="dxa"/>
            <w:vAlign w:val="center"/>
          </w:tcPr>
          <w:p w14:paraId="57E35648"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1.638</w:t>
            </w:r>
          </w:p>
        </w:tc>
        <w:tc>
          <w:tcPr>
            <w:tcW w:w="733" w:type="dxa"/>
            <w:vAlign w:val="center"/>
          </w:tcPr>
          <w:p w14:paraId="4771F1E1"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2.334</w:t>
            </w:r>
          </w:p>
        </w:tc>
        <w:tc>
          <w:tcPr>
            <w:tcW w:w="732" w:type="dxa"/>
            <w:vAlign w:val="center"/>
          </w:tcPr>
          <w:p w14:paraId="795929E3"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1.761</w:t>
            </w:r>
          </w:p>
        </w:tc>
        <w:tc>
          <w:tcPr>
            <w:tcW w:w="732" w:type="dxa"/>
            <w:vAlign w:val="center"/>
          </w:tcPr>
          <w:p w14:paraId="6CA8F1E8"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2.437</w:t>
            </w:r>
          </w:p>
        </w:tc>
        <w:tc>
          <w:tcPr>
            <w:tcW w:w="731" w:type="dxa"/>
            <w:vAlign w:val="center"/>
          </w:tcPr>
          <w:p w14:paraId="285548A5"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1.335</w:t>
            </w:r>
          </w:p>
        </w:tc>
        <w:tc>
          <w:tcPr>
            <w:tcW w:w="732" w:type="dxa"/>
            <w:vAlign w:val="center"/>
          </w:tcPr>
          <w:p w14:paraId="6AD0A30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1.186</w:t>
            </w:r>
          </w:p>
        </w:tc>
        <w:tc>
          <w:tcPr>
            <w:tcW w:w="732" w:type="dxa"/>
            <w:vAlign w:val="center"/>
          </w:tcPr>
          <w:p w14:paraId="610C2401"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999</w:t>
            </w:r>
          </w:p>
        </w:tc>
        <w:tc>
          <w:tcPr>
            <w:tcW w:w="733" w:type="dxa"/>
            <w:vAlign w:val="center"/>
          </w:tcPr>
          <w:p w14:paraId="29CE24F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1.361</w:t>
            </w:r>
          </w:p>
        </w:tc>
        <w:tc>
          <w:tcPr>
            <w:tcW w:w="732" w:type="dxa"/>
            <w:vAlign w:val="center"/>
          </w:tcPr>
          <w:p w14:paraId="646DC397"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1.016</w:t>
            </w:r>
          </w:p>
        </w:tc>
        <w:tc>
          <w:tcPr>
            <w:tcW w:w="873" w:type="dxa"/>
            <w:vAlign w:val="center"/>
          </w:tcPr>
          <w:p w14:paraId="61F57535"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15.830</w:t>
            </w:r>
          </w:p>
        </w:tc>
      </w:tr>
      <w:tr w:rsidR="009F762E" w:rsidRPr="00242DFB" w14:paraId="0E1251AF" w14:textId="77777777" w:rsidTr="00894C96">
        <w:trPr>
          <w:gridAfter w:val="1"/>
          <w:wAfter w:w="6" w:type="dxa"/>
          <w:cantSplit/>
          <w:trHeight w:val="273"/>
          <w:jc w:val="center"/>
        </w:trPr>
        <w:tc>
          <w:tcPr>
            <w:tcW w:w="1922" w:type="dxa"/>
            <w:vAlign w:val="center"/>
          </w:tcPr>
          <w:p w14:paraId="78F02BCE"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ERC</w:t>
            </w:r>
          </w:p>
        </w:tc>
        <w:tc>
          <w:tcPr>
            <w:tcW w:w="730" w:type="dxa"/>
            <w:vAlign w:val="center"/>
          </w:tcPr>
          <w:p w14:paraId="30CD6430"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641</w:t>
            </w:r>
          </w:p>
        </w:tc>
        <w:tc>
          <w:tcPr>
            <w:tcW w:w="732" w:type="dxa"/>
            <w:vAlign w:val="center"/>
          </w:tcPr>
          <w:p w14:paraId="52896412"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535</w:t>
            </w:r>
          </w:p>
        </w:tc>
        <w:tc>
          <w:tcPr>
            <w:tcW w:w="733" w:type="dxa"/>
            <w:vAlign w:val="center"/>
          </w:tcPr>
          <w:p w14:paraId="7BD0F02F"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853</w:t>
            </w:r>
          </w:p>
        </w:tc>
        <w:tc>
          <w:tcPr>
            <w:tcW w:w="732" w:type="dxa"/>
            <w:vAlign w:val="center"/>
          </w:tcPr>
          <w:p w14:paraId="199B3FA0"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702</w:t>
            </w:r>
          </w:p>
        </w:tc>
        <w:tc>
          <w:tcPr>
            <w:tcW w:w="732" w:type="dxa"/>
            <w:vAlign w:val="center"/>
          </w:tcPr>
          <w:p w14:paraId="73E49D09"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778</w:t>
            </w:r>
          </w:p>
        </w:tc>
        <w:tc>
          <w:tcPr>
            <w:tcW w:w="731" w:type="dxa"/>
            <w:vAlign w:val="center"/>
          </w:tcPr>
          <w:p w14:paraId="24696027"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429</w:t>
            </w:r>
          </w:p>
        </w:tc>
        <w:tc>
          <w:tcPr>
            <w:tcW w:w="732" w:type="dxa"/>
            <w:vAlign w:val="center"/>
          </w:tcPr>
          <w:p w14:paraId="799A71A3"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474</w:t>
            </w:r>
          </w:p>
        </w:tc>
        <w:tc>
          <w:tcPr>
            <w:tcW w:w="732" w:type="dxa"/>
            <w:vAlign w:val="center"/>
          </w:tcPr>
          <w:p w14:paraId="35066045"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395</w:t>
            </w:r>
          </w:p>
        </w:tc>
        <w:tc>
          <w:tcPr>
            <w:tcW w:w="733" w:type="dxa"/>
            <w:vAlign w:val="center"/>
          </w:tcPr>
          <w:p w14:paraId="50A7F9D4"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434</w:t>
            </w:r>
          </w:p>
        </w:tc>
        <w:tc>
          <w:tcPr>
            <w:tcW w:w="732" w:type="dxa"/>
            <w:vAlign w:val="center"/>
          </w:tcPr>
          <w:p w14:paraId="57280DC9"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418</w:t>
            </w:r>
          </w:p>
        </w:tc>
        <w:tc>
          <w:tcPr>
            <w:tcW w:w="873" w:type="dxa"/>
            <w:vAlign w:val="center"/>
          </w:tcPr>
          <w:p w14:paraId="36A5B4B5"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5.659</w:t>
            </w:r>
          </w:p>
        </w:tc>
      </w:tr>
      <w:tr w:rsidR="009F762E" w:rsidRPr="00242DFB" w14:paraId="23EAF5BF" w14:textId="77777777" w:rsidTr="00894C96">
        <w:trPr>
          <w:gridAfter w:val="1"/>
          <w:wAfter w:w="6" w:type="dxa"/>
          <w:cantSplit/>
          <w:trHeight w:val="273"/>
          <w:jc w:val="center"/>
        </w:trPr>
        <w:tc>
          <w:tcPr>
            <w:tcW w:w="1922" w:type="dxa"/>
            <w:vAlign w:val="center"/>
          </w:tcPr>
          <w:p w14:paraId="6FD45673"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VIH</w:t>
            </w:r>
          </w:p>
        </w:tc>
        <w:tc>
          <w:tcPr>
            <w:tcW w:w="730" w:type="dxa"/>
            <w:vAlign w:val="center"/>
          </w:tcPr>
          <w:p w14:paraId="40057C9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605</w:t>
            </w:r>
          </w:p>
        </w:tc>
        <w:tc>
          <w:tcPr>
            <w:tcW w:w="732" w:type="dxa"/>
            <w:vAlign w:val="center"/>
          </w:tcPr>
          <w:p w14:paraId="2D89FF7B"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524</w:t>
            </w:r>
          </w:p>
        </w:tc>
        <w:tc>
          <w:tcPr>
            <w:tcW w:w="733" w:type="dxa"/>
            <w:vAlign w:val="center"/>
          </w:tcPr>
          <w:p w14:paraId="221ADBD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797</w:t>
            </w:r>
          </w:p>
        </w:tc>
        <w:tc>
          <w:tcPr>
            <w:tcW w:w="732" w:type="dxa"/>
            <w:vAlign w:val="center"/>
          </w:tcPr>
          <w:p w14:paraId="7B718061"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582</w:t>
            </w:r>
          </w:p>
        </w:tc>
        <w:tc>
          <w:tcPr>
            <w:tcW w:w="732" w:type="dxa"/>
            <w:vAlign w:val="center"/>
          </w:tcPr>
          <w:p w14:paraId="4C56F3F0"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728</w:t>
            </w:r>
          </w:p>
        </w:tc>
        <w:tc>
          <w:tcPr>
            <w:tcW w:w="731" w:type="dxa"/>
            <w:vAlign w:val="center"/>
          </w:tcPr>
          <w:p w14:paraId="3ED90AD7"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492</w:t>
            </w:r>
          </w:p>
        </w:tc>
        <w:tc>
          <w:tcPr>
            <w:tcW w:w="732" w:type="dxa"/>
            <w:vAlign w:val="center"/>
          </w:tcPr>
          <w:p w14:paraId="2781ACF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377</w:t>
            </w:r>
          </w:p>
        </w:tc>
        <w:tc>
          <w:tcPr>
            <w:tcW w:w="732" w:type="dxa"/>
            <w:vAlign w:val="center"/>
          </w:tcPr>
          <w:p w14:paraId="34D5C89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378</w:t>
            </w:r>
          </w:p>
        </w:tc>
        <w:tc>
          <w:tcPr>
            <w:tcW w:w="733" w:type="dxa"/>
            <w:vAlign w:val="center"/>
          </w:tcPr>
          <w:p w14:paraId="087E080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471</w:t>
            </w:r>
          </w:p>
        </w:tc>
        <w:tc>
          <w:tcPr>
            <w:tcW w:w="732" w:type="dxa"/>
            <w:vAlign w:val="center"/>
          </w:tcPr>
          <w:p w14:paraId="6607AC78"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328</w:t>
            </w:r>
          </w:p>
        </w:tc>
        <w:tc>
          <w:tcPr>
            <w:tcW w:w="873" w:type="dxa"/>
            <w:vAlign w:val="center"/>
          </w:tcPr>
          <w:p w14:paraId="4F7057F3"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5.282</w:t>
            </w:r>
          </w:p>
        </w:tc>
      </w:tr>
      <w:tr w:rsidR="009F762E" w:rsidRPr="00242DFB" w14:paraId="20BB9116" w14:textId="77777777" w:rsidTr="00894C96">
        <w:trPr>
          <w:gridAfter w:val="1"/>
          <w:wAfter w:w="6" w:type="dxa"/>
          <w:cantSplit/>
          <w:trHeight w:val="273"/>
          <w:jc w:val="center"/>
        </w:trPr>
        <w:tc>
          <w:tcPr>
            <w:tcW w:w="1922" w:type="dxa"/>
            <w:vAlign w:val="center"/>
          </w:tcPr>
          <w:p w14:paraId="07E26C85"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Huérfanas</w:t>
            </w:r>
          </w:p>
        </w:tc>
        <w:tc>
          <w:tcPr>
            <w:tcW w:w="730" w:type="dxa"/>
            <w:vAlign w:val="center"/>
          </w:tcPr>
          <w:p w14:paraId="1469CC69"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310</w:t>
            </w:r>
          </w:p>
        </w:tc>
        <w:tc>
          <w:tcPr>
            <w:tcW w:w="732" w:type="dxa"/>
            <w:vAlign w:val="center"/>
          </w:tcPr>
          <w:p w14:paraId="39D3A46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315</w:t>
            </w:r>
          </w:p>
        </w:tc>
        <w:tc>
          <w:tcPr>
            <w:tcW w:w="733" w:type="dxa"/>
            <w:vAlign w:val="center"/>
          </w:tcPr>
          <w:p w14:paraId="075799A1"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489</w:t>
            </w:r>
          </w:p>
        </w:tc>
        <w:tc>
          <w:tcPr>
            <w:tcW w:w="732" w:type="dxa"/>
            <w:vAlign w:val="center"/>
          </w:tcPr>
          <w:p w14:paraId="46AD7986"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353</w:t>
            </w:r>
          </w:p>
        </w:tc>
        <w:tc>
          <w:tcPr>
            <w:tcW w:w="732" w:type="dxa"/>
            <w:vAlign w:val="center"/>
          </w:tcPr>
          <w:p w14:paraId="081BE0D3"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448</w:t>
            </w:r>
          </w:p>
        </w:tc>
        <w:tc>
          <w:tcPr>
            <w:tcW w:w="731" w:type="dxa"/>
            <w:vAlign w:val="center"/>
          </w:tcPr>
          <w:p w14:paraId="308CBBA5"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285</w:t>
            </w:r>
          </w:p>
        </w:tc>
        <w:tc>
          <w:tcPr>
            <w:tcW w:w="732" w:type="dxa"/>
            <w:vAlign w:val="center"/>
          </w:tcPr>
          <w:p w14:paraId="22077D3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273</w:t>
            </w:r>
          </w:p>
        </w:tc>
        <w:tc>
          <w:tcPr>
            <w:tcW w:w="732" w:type="dxa"/>
            <w:vAlign w:val="center"/>
          </w:tcPr>
          <w:p w14:paraId="145C4DE7"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232</w:t>
            </w:r>
          </w:p>
        </w:tc>
        <w:tc>
          <w:tcPr>
            <w:tcW w:w="733" w:type="dxa"/>
            <w:vAlign w:val="center"/>
          </w:tcPr>
          <w:p w14:paraId="342547FF"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281</w:t>
            </w:r>
          </w:p>
        </w:tc>
        <w:tc>
          <w:tcPr>
            <w:tcW w:w="732" w:type="dxa"/>
            <w:vAlign w:val="center"/>
          </w:tcPr>
          <w:p w14:paraId="1547DA81"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256</w:t>
            </w:r>
          </w:p>
        </w:tc>
        <w:tc>
          <w:tcPr>
            <w:tcW w:w="873" w:type="dxa"/>
            <w:vAlign w:val="center"/>
          </w:tcPr>
          <w:p w14:paraId="00964AA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3.242</w:t>
            </w:r>
          </w:p>
        </w:tc>
      </w:tr>
      <w:tr w:rsidR="009F762E" w:rsidRPr="00242DFB" w14:paraId="5F476A77" w14:textId="77777777" w:rsidTr="00894C96">
        <w:trPr>
          <w:gridAfter w:val="1"/>
          <w:wAfter w:w="6" w:type="dxa"/>
          <w:cantSplit/>
          <w:trHeight w:val="273"/>
          <w:jc w:val="center"/>
        </w:trPr>
        <w:tc>
          <w:tcPr>
            <w:tcW w:w="1922" w:type="dxa"/>
            <w:vAlign w:val="center"/>
          </w:tcPr>
          <w:p w14:paraId="56B9C259"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Hepatitis C</w:t>
            </w:r>
          </w:p>
        </w:tc>
        <w:tc>
          <w:tcPr>
            <w:tcW w:w="730" w:type="dxa"/>
            <w:vAlign w:val="center"/>
          </w:tcPr>
          <w:p w14:paraId="2F61AF01"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19</w:t>
            </w:r>
          </w:p>
        </w:tc>
        <w:tc>
          <w:tcPr>
            <w:tcW w:w="732" w:type="dxa"/>
            <w:vAlign w:val="center"/>
          </w:tcPr>
          <w:p w14:paraId="51839347"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18</w:t>
            </w:r>
          </w:p>
        </w:tc>
        <w:tc>
          <w:tcPr>
            <w:tcW w:w="733" w:type="dxa"/>
            <w:vAlign w:val="center"/>
          </w:tcPr>
          <w:p w14:paraId="3FB5E36F"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25</w:t>
            </w:r>
          </w:p>
        </w:tc>
        <w:tc>
          <w:tcPr>
            <w:tcW w:w="732" w:type="dxa"/>
            <w:vAlign w:val="center"/>
          </w:tcPr>
          <w:p w14:paraId="3FE2EE98"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22</w:t>
            </w:r>
          </w:p>
        </w:tc>
        <w:tc>
          <w:tcPr>
            <w:tcW w:w="732" w:type="dxa"/>
            <w:vAlign w:val="center"/>
          </w:tcPr>
          <w:p w14:paraId="7FE80BD1"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29</w:t>
            </w:r>
          </w:p>
        </w:tc>
        <w:tc>
          <w:tcPr>
            <w:tcW w:w="731" w:type="dxa"/>
            <w:vAlign w:val="center"/>
          </w:tcPr>
          <w:p w14:paraId="041A3F86"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14</w:t>
            </w:r>
          </w:p>
        </w:tc>
        <w:tc>
          <w:tcPr>
            <w:tcW w:w="732" w:type="dxa"/>
            <w:vAlign w:val="center"/>
          </w:tcPr>
          <w:p w14:paraId="7E03AF0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15</w:t>
            </w:r>
          </w:p>
        </w:tc>
        <w:tc>
          <w:tcPr>
            <w:tcW w:w="732" w:type="dxa"/>
            <w:vAlign w:val="center"/>
          </w:tcPr>
          <w:p w14:paraId="6E5F687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15</w:t>
            </w:r>
          </w:p>
        </w:tc>
        <w:tc>
          <w:tcPr>
            <w:tcW w:w="733" w:type="dxa"/>
            <w:vAlign w:val="center"/>
          </w:tcPr>
          <w:p w14:paraId="5D37F9B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30</w:t>
            </w:r>
          </w:p>
        </w:tc>
        <w:tc>
          <w:tcPr>
            <w:tcW w:w="732" w:type="dxa"/>
            <w:vAlign w:val="center"/>
          </w:tcPr>
          <w:p w14:paraId="4774DDB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10</w:t>
            </w:r>
          </w:p>
        </w:tc>
        <w:tc>
          <w:tcPr>
            <w:tcW w:w="873" w:type="dxa"/>
            <w:vAlign w:val="center"/>
          </w:tcPr>
          <w:p w14:paraId="696B9531"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197</w:t>
            </w:r>
          </w:p>
        </w:tc>
      </w:tr>
      <w:tr w:rsidR="009F762E" w:rsidRPr="00242DFB" w14:paraId="5D6B971A" w14:textId="77777777" w:rsidTr="00894C96">
        <w:trPr>
          <w:gridAfter w:val="1"/>
          <w:wAfter w:w="6" w:type="dxa"/>
          <w:cantSplit/>
          <w:trHeight w:val="273"/>
          <w:jc w:val="center"/>
        </w:trPr>
        <w:tc>
          <w:tcPr>
            <w:tcW w:w="1922" w:type="dxa"/>
            <w:vAlign w:val="center"/>
          </w:tcPr>
          <w:p w14:paraId="51CC4620"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kern w:val="2"/>
              </w:rPr>
              <w:t>TRASPLANTADOS</w:t>
            </w:r>
          </w:p>
        </w:tc>
        <w:tc>
          <w:tcPr>
            <w:tcW w:w="730" w:type="dxa"/>
            <w:vAlign w:val="center"/>
          </w:tcPr>
          <w:p w14:paraId="24AB0CDF"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23</w:t>
            </w:r>
          </w:p>
        </w:tc>
        <w:tc>
          <w:tcPr>
            <w:tcW w:w="732" w:type="dxa"/>
            <w:vAlign w:val="center"/>
          </w:tcPr>
          <w:p w14:paraId="51199948"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16</w:t>
            </w:r>
          </w:p>
        </w:tc>
        <w:tc>
          <w:tcPr>
            <w:tcW w:w="733" w:type="dxa"/>
            <w:vAlign w:val="center"/>
          </w:tcPr>
          <w:p w14:paraId="5E1A49E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12</w:t>
            </w:r>
          </w:p>
        </w:tc>
        <w:tc>
          <w:tcPr>
            <w:tcW w:w="732" w:type="dxa"/>
            <w:vAlign w:val="center"/>
          </w:tcPr>
          <w:p w14:paraId="31930315"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21</w:t>
            </w:r>
          </w:p>
        </w:tc>
        <w:tc>
          <w:tcPr>
            <w:tcW w:w="732" w:type="dxa"/>
            <w:vAlign w:val="center"/>
          </w:tcPr>
          <w:p w14:paraId="6FEA0B60"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15</w:t>
            </w:r>
          </w:p>
        </w:tc>
        <w:tc>
          <w:tcPr>
            <w:tcW w:w="731" w:type="dxa"/>
            <w:vAlign w:val="center"/>
          </w:tcPr>
          <w:p w14:paraId="00C35E69"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9</w:t>
            </w:r>
          </w:p>
        </w:tc>
        <w:tc>
          <w:tcPr>
            <w:tcW w:w="732" w:type="dxa"/>
            <w:vAlign w:val="center"/>
          </w:tcPr>
          <w:p w14:paraId="6209916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9</w:t>
            </w:r>
          </w:p>
        </w:tc>
        <w:tc>
          <w:tcPr>
            <w:tcW w:w="732" w:type="dxa"/>
            <w:vAlign w:val="center"/>
          </w:tcPr>
          <w:p w14:paraId="241CCDA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8</w:t>
            </w:r>
          </w:p>
        </w:tc>
        <w:tc>
          <w:tcPr>
            <w:tcW w:w="733" w:type="dxa"/>
            <w:vAlign w:val="center"/>
          </w:tcPr>
          <w:p w14:paraId="000B4B4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14</w:t>
            </w:r>
          </w:p>
        </w:tc>
        <w:tc>
          <w:tcPr>
            <w:tcW w:w="732" w:type="dxa"/>
            <w:vAlign w:val="center"/>
          </w:tcPr>
          <w:p w14:paraId="4C54A090"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9</w:t>
            </w:r>
          </w:p>
        </w:tc>
        <w:tc>
          <w:tcPr>
            <w:tcW w:w="873" w:type="dxa"/>
            <w:vAlign w:val="center"/>
          </w:tcPr>
          <w:p w14:paraId="65A09B1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136</w:t>
            </w:r>
          </w:p>
        </w:tc>
      </w:tr>
      <w:tr w:rsidR="009F762E" w:rsidRPr="00242DFB" w14:paraId="39DF0CA1" w14:textId="77777777" w:rsidTr="00894C96">
        <w:trPr>
          <w:gridAfter w:val="1"/>
          <w:wAfter w:w="6" w:type="dxa"/>
          <w:cantSplit/>
          <w:trHeight w:val="303"/>
          <w:jc w:val="center"/>
        </w:trPr>
        <w:tc>
          <w:tcPr>
            <w:tcW w:w="1922" w:type="dxa"/>
            <w:vAlign w:val="center"/>
          </w:tcPr>
          <w:p w14:paraId="0390AC0C"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kern w:val="2"/>
              </w:rPr>
              <w:lastRenderedPageBreak/>
              <w:t>Hemofilia</w:t>
            </w:r>
          </w:p>
        </w:tc>
        <w:tc>
          <w:tcPr>
            <w:tcW w:w="730" w:type="dxa"/>
            <w:vAlign w:val="center"/>
          </w:tcPr>
          <w:p w14:paraId="6024F58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w:t>
            </w:r>
          </w:p>
        </w:tc>
        <w:tc>
          <w:tcPr>
            <w:tcW w:w="732" w:type="dxa"/>
            <w:vAlign w:val="center"/>
          </w:tcPr>
          <w:p w14:paraId="04EC9D48"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w:t>
            </w:r>
          </w:p>
        </w:tc>
        <w:tc>
          <w:tcPr>
            <w:tcW w:w="733" w:type="dxa"/>
            <w:vAlign w:val="center"/>
          </w:tcPr>
          <w:p w14:paraId="045A8716"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8</w:t>
            </w:r>
          </w:p>
        </w:tc>
        <w:tc>
          <w:tcPr>
            <w:tcW w:w="732" w:type="dxa"/>
            <w:vAlign w:val="center"/>
          </w:tcPr>
          <w:p w14:paraId="1FFD05C0"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w:t>
            </w:r>
          </w:p>
        </w:tc>
        <w:tc>
          <w:tcPr>
            <w:tcW w:w="732" w:type="dxa"/>
            <w:vAlign w:val="center"/>
          </w:tcPr>
          <w:p w14:paraId="48D2576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13</w:t>
            </w:r>
          </w:p>
        </w:tc>
        <w:tc>
          <w:tcPr>
            <w:tcW w:w="731" w:type="dxa"/>
            <w:vAlign w:val="center"/>
          </w:tcPr>
          <w:p w14:paraId="48704DFB"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0</w:t>
            </w:r>
          </w:p>
        </w:tc>
        <w:tc>
          <w:tcPr>
            <w:tcW w:w="732" w:type="dxa"/>
            <w:vAlign w:val="center"/>
          </w:tcPr>
          <w:p w14:paraId="176C732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w:t>
            </w:r>
          </w:p>
        </w:tc>
        <w:tc>
          <w:tcPr>
            <w:tcW w:w="732" w:type="dxa"/>
            <w:vAlign w:val="center"/>
          </w:tcPr>
          <w:p w14:paraId="368B226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w:t>
            </w:r>
          </w:p>
        </w:tc>
        <w:tc>
          <w:tcPr>
            <w:tcW w:w="733" w:type="dxa"/>
            <w:vAlign w:val="center"/>
          </w:tcPr>
          <w:p w14:paraId="12B44EFF"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w:t>
            </w:r>
          </w:p>
        </w:tc>
        <w:tc>
          <w:tcPr>
            <w:tcW w:w="732" w:type="dxa"/>
            <w:vAlign w:val="center"/>
          </w:tcPr>
          <w:p w14:paraId="2A47443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w:t>
            </w:r>
          </w:p>
        </w:tc>
        <w:tc>
          <w:tcPr>
            <w:tcW w:w="873" w:type="dxa"/>
            <w:vAlign w:val="center"/>
          </w:tcPr>
          <w:p w14:paraId="0B118319"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61</w:t>
            </w:r>
          </w:p>
        </w:tc>
      </w:tr>
    </w:tbl>
    <w:p w14:paraId="3CF45F52" w14:textId="77777777" w:rsidR="009F762E" w:rsidRPr="00242DFB" w:rsidRDefault="00000000" w:rsidP="00894C96">
      <w:pPr>
        <w:spacing w:line="360" w:lineRule="auto"/>
        <w:jc w:val="both"/>
        <w:rPr>
          <w:rFonts w:ascii="Arial" w:hAnsi="Arial" w:cs="Arial"/>
          <w:color w:val="000000" w:themeColor="text1"/>
          <w:sz w:val="16"/>
          <w:szCs w:val="16"/>
        </w:rPr>
      </w:pPr>
      <w:r w:rsidRPr="00242DFB">
        <w:rPr>
          <w:rFonts w:ascii="Arial" w:hAnsi="Arial" w:cs="Arial"/>
          <w:color w:val="000000"/>
          <w:sz w:val="16"/>
          <w:szCs w:val="16"/>
        </w:rPr>
        <w:t>Fuente: Capital Salud EPS-S Respuesta al requerimiento No. 026-EE-54444 de la Subdirección de Garantía del Aseguramiento, mediante la cual se remite información de medicamentos solicitados por cohorte (serie mensual enero–octubre de 2025).</w:t>
      </w:r>
    </w:p>
    <w:p w14:paraId="05F996AC" w14:textId="77777777" w:rsidR="009F762E" w:rsidRPr="00242DFB" w:rsidRDefault="00000000" w:rsidP="00894C96">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5315FBB5" w14:textId="4D6F9F00"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En el análisis realizado a la información aportada por Capital Salud EPS-S en la Tabla </w:t>
      </w:r>
      <w:r w:rsidR="00894C96" w:rsidRPr="00242DFB">
        <w:rPr>
          <w:rFonts w:ascii="Arial" w:eastAsia="Arial" w:hAnsi="Arial" w:cs="Arial"/>
          <w:color w:val="000000"/>
        </w:rPr>
        <w:t>20</w:t>
      </w:r>
      <w:r w:rsidRPr="00242DFB">
        <w:rPr>
          <w:rFonts w:ascii="Arial" w:eastAsia="Arial" w:hAnsi="Arial" w:cs="Arial"/>
          <w:color w:val="000000"/>
        </w:rPr>
        <w:t>, se evidencia una alta concentración de medicamentos pendientes en las cohortes de Cáncer y Artritis, las cuales acumulan 57.302 pendientes durante el periodo evaluado, equivalentes al 79,8% del total registrado para las cohortes priorizadas.</w:t>
      </w:r>
    </w:p>
    <w:p w14:paraId="0D662393" w14:textId="77777777" w:rsidR="009F762E" w:rsidRPr="00242DFB" w:rsidRDefault="009F762E" w:rsidP="002A0E52">
      <w:pPr>
        <w:spacing w:line="360" w:lineRule="auto"/>
        <w:jc w:val="both"/>
        <w:rPr>
          <w:rFonts w:ascii="Arial" w:hAnsi="Arial" w:cs="Arial"/>
          <w:color w:val="000000" w:themeColor="text1"/>
        </w:rPr>
      </w:pPr>
    </w:p>
    <w:p w14:paraId="226F898F"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al comparar el comportamiento de los medicamentos solicitados con el volumen de pendientes, se observa que algunas cohortes mantienen de forma persistente una proporción relevante de medicamentos sin entrega completa. En el caso de cáncer, por ejemplo, los pendientes representan aproximadamente el 19,3 % del total de medicamentos solicitados durante el periodo analizado (41.472 de 214.680), mientras que en artritis alcanzan cerca del 20%. Este comportamiento sugiere que una parte importante de la demanda farmacéutica no estaría siendo resuelta de manera inmediata, generando acumulación de pendientes a lo largo de los meses.</w:t>
      </w:r>
    </w:p>
    <w:p w14:paraId="2BFCED8B"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2131C8FC"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Por otra parte, aunque a partir de julio se evidencia una disminución generalizada en el número de pendientes para la mayoría de las cohortes, el descenso ocurre de manera simultánea en casi todos los grupos poblacionales, incluyendo aquellos con dinámicas clínicas y volúmenes de demanda diferentes. Esta situación podría indicar una mejora en los procesos de dispensación y abastecimiento; sin embargo, también podría estar relacionada con cambios en los criterios de medición, ajustes en la metodología de reporte o modificaciones en la definición operativa de pendiente, aspectos que requieren validación para determinar la causa real del comportamiento observado.</w:t>
      </w:r>
    </w:p>
    <w:p w14:paraId="0DF83D12"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074BA6FF"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Aunque, las cohortes de enfermedades, trasplantados, hemofilia y hepatitis C muestran menores volúmenes absolutos de pendientes (en consonancia con la </w:t>
      </w:r>
      <w:r w:rsidRPr="00242DFB">
        <w:rPr>
          <w:rFonts w:ascii="Arial" w:eastAsia="Arial" w:hAnsi="Arial" w:cs="Arial"/>
          <w:color w:val="000000"/>
        </w:rPr>
        <w:lastRenderedPageBreak/>
        <w:t>concentración de medicamentos solicitados); no obstante, debido a la complejidad clínica de estos pacientes y a la dependencia de medicamentos especializados, incluso un número reducido de pendientes puede tener consecuencias significativas sobre la evolución de la enfermedad. Por esta razón, el análisis de estas cohortes debe considerar no solo la cantidad de pendientes, sino también el impacto potencial que su no entrega puede generar sobre la continuidad de los tratamientos.</w:t>
      </w:r>
    </w:p>
    <w:p w14:paraId="7C5234BD"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78BE2806"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Finalmente, la persistencia de medicamentos pendientes en la mayoría de las cohortes durante la totalidad del periodo evaluado evidencia que el fenómeno no corresponde a eventos aislados o coyunturales, sino que constituye un comportamiento recurrente dentro del proceso de dispensación farmacéutica. Lo anterior sugiere la necesidad de fortalecer las estrategias de abastecimiento, programación de inventarios, seguimiento a entregas parciales y monitoreo de la oportunidad en la dispensación, especialmente en aquellas cohortes que concentran la mayor carga de enfermedad y riesgo clínico.</w:t>
      </w:r>
    </w:p>
    <w:p w14:paraId="321267A4" w14:textId="30F0FFA6" w:rsidR="009F762E" w:rsidRPr="00242DFB" w:rsidRDefault="009F762E" w:rsidP="00894C96">
      <w:pPr>
        <w:spacing w:line="360" w:lineRule="auto"/>
        <w:jc w:val="center"/>
        <w:rPr>
          <w:rFonts w:ascii="Arial" w:hAnsi="Arial" w:cs="Arial"/>
          <w:color w:val="000000" w:themeColor="text1"/>
          <w:sz w:val="36"/>
          <w:szCs w:val="36"/>
        </w:rPr>
      </w:pPr>
    </w:p>
    <w:p w14:paraId="45186111" w14:textId="36866D7C" w:rsidR="00894C96" w:rsidRPr="00242DFB" w:rsidRDefault="00894C96" w:rsidP="00894C96">
      <w:pPr>
        <w:pStyle w:val="Descripcin"/>
        <w:keepNext/>
        <w:jc w:val="center"/>
        <w:rPr>
          <w:rFonts w:ascii="Arial" w:hAnsi="Arial" w:cs="Arial"/>
          <w:color w:val="000000" w:themeColor="text1"/>
          <w:sz w:val="24"/>
          <w:szCs w:val="24"/>
        </w:rPr>
      </w:pPr>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21</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Medicamentos pendientes sin entrega efectiva por cohorte priorizada, serie mensual enero-octubre de 2025</w:t>
      </w:r>
    </w:p>
    <w:tbl>
      <w:tblPr>
        <w:tblStyle w:val="Tablaconcuadrcula"/>
        <w:tblW w:w="10599" w:type="dxa"/>
        <w:jc w:val="center"/>
        <w:tblLayout w:type="fixed"/>
        <w:tblLook w:val="06A0" w:firstRow="1" w:lastRow="0" w:firstColumn="1" w:lastColumn="0" w:noHBand="1" w:noVBand="1"/>
      </w:tblPr>
      <w:tblGrid>
        <w:gridCol w:w="1779"/>
        <w:gridCol w:w="801"/>
        <w:gridCol w:w="801"/>
        <w:gridCol w:w="801"/>
        <w:gridCol w:w="801"/>
        <w:gridCol w:w="801"/>
        <w:gridCol w:w="801"/>
        <w:gridCol w:w="801"/>
        <w:gridCol w:w="801"/>
        <w:gridCol w:w="776"/>
        <w:gridCol w:w="655"/>
        <w:gridCol w:w="965"/>
        <w:gridCol w:w="16"/>
      </w:tblGrid>
      <w:tr w:rsidR="009F762E" w:rsidRPr="00242DFB" w14:paraId="47CA73B3" w14:textId="77777777" w:rsidTr="00894C96">
        <w:trPr>
          <w:cantSplit/>
          <w:trHeight w:val="340"/>
          <w:jc w:val="center"/>
        </w:trPr>
        <w:tc>
          <w:tcPr>
            <w:tcW w:w="1779" w:type="dxa"/>
            <w:vMerge w:val="restart"/>
            <w:vAlign w:val="center"/>
          </w:tcPr>
          <w:p w14:paraId="422B3788"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 xml:space="preserve">Cohorte </w:t>
            </w:r>
          </w:p>
        </w:tc>
        <w:tc>
          <w:tcPr>
            <w:tcW w:w="8820" w:type="dxa"/>
            <w:gridSpan w:val="12"/>
            <w:vAlign w:val="center"/>
          </w:tcPr>
          <w:p w14:paraId="0EFE2B29" w14:textId="6B13D98F" w:rsidR="009F762E" w:rsidRPr="00242DFB" w:rsidRDefault="00894C96"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Total,</w:t>
            </w:r>
            <w:r w:rsidR="00000000" w:rsidRPr="00242DFB">
              <w:rPr>
                <w:rFonts w:ascii="Arial" w:eastAsia="Arial" w:hAnsi="Arial" w:cs="Arial"/>
                <w:b/>
                <w:bCs/>
                <w:color w:val="000000" w:themeColor="text1"/>
                <w:kern w:val="2"/>
              </w:rPr>
              <w:t xml:space="preserve"> de medicamentos pendientes sin entrega efectiva</w:t>
            </w:r>
          </w:p>
        </w:tc>
      </w:tr>
      <w:tr w:rsidR="00894C96" w:rsidRPr="00242DFB" w14:paraId="70659861" w14:textId="77777777" w:rsidTr="00894C96">
        <w:trPr>
          <w:gridAfter w:val="1"/>
          <w:wAfter w:w="16" w:type="dxa"/>
          <w:cantSplit/>
          <w:trHeight w:val="226"/>
          <w:jc w:val="center"/>
        </w:trPr>
        <w:tc>
          <w:tcPr>
            <w:tcW w:w="1779" w:type="dxa"/>
            <w:vMerge/>
            <w:vAlign w:val="center"/>
          </w:tcPr>
          <w:p w14:paraId="3CC56F85" w14:textId="77777777" w:rsidR="009F762E" w:rsidRPr="00242DFB" w:rsidRDefault="009F762E" w:rsidP="002A0E52">
            <w:pPr>
              <w:spacing w:line="360" w:lineRule="auto"/>
              <w:rPr>
                <w:rFonts w:ascii="Arial" w:hAnsi="Arial" w:cs="Arial"/>
                <w:color w:val="000000" w:themeColor="text1"/>
              </w:rPr>
            </w:pPr>
          </w:p>
        </w:tc>
        <w:tc>
          <w:tcPr>
            <w:tcW w:w="801" w:type="dxa"/>
            <w:vAlign w:val="center"/>
          </w:tcPr>
          <w:p w14:paraId="7D5424D1"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ene-25</w:t>
            </w:r>
          </w:p>
        </w:tc>
        <w:tc>
          <w:tcPr>
            <w:tcW w:w="801" w:type="dxa"/>
            <w:vAlign w:val="center"/>
          </w:tcPr>
          <w:p w14:paraId="20156E86"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feb-25</w:t>
            </w:r>
          </w:p>
        </w:tc>
        <w:tc>
          <w:tcPr>
            <w:tcW w:w="801" w:type="dxa"/>
            <w:vAlign w:val="center"/>
          </w:tcPr>
          <w:p w14:paraId="713DC33F"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mar-25</w:t>
            </w:r>
          </w:p>
        </w:tc>
        <w:tc>
          <w:tcPr>
            <w:tcW w:w="801" w:type="dxa"/>
            <w:vAlign w:val="center"/>
          </w:tcPr>
          <w:p w14:paraId="69784D68"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abr-25</w:t>
            </w:r>
          </w:p>
        </w:tc>
        <w:tc>
          <w:tcPr>
            <w:tcW w:w="801" w:type="dxa"/>
            <w:vAlign w:val="center"/>
          </w:tcPr>
          <w:p w14:paraId="473E82FF"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may-25</w:t>
            </w:r>
          </w:p>
        </w:tc>
        <w:tc>
          <w:tcPr>
            <w:tcW w:w="801" w:type="dxa"/>
            <w:vAlign w:val="center"/>
          </w:tcPr>
          <w:p w14:paraId="44343FE9"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jun-25</w:t>
            </w:r>
          </w:p>
        </w:tc>
        <w:tc>
          <w:tcPr>
            <w:tcW w:w="801" w:type="dxa"/>
            <w:vAlign w:val="center"/>
          </w:tcPr>
          <w:p w14:paraId="2384AE3B"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jul-25</w:t>
            </w:r>
          </w:p>
        </w:tc>
        <w:tc>
          <w:tcPr>
            <w:tcW w:w="801" w:type="dxa"/>
            <w:vAlign w:val="center"/>
          </w:tcPr>
          <w:p w14:paraId="341CC615"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ago-25</w:t>
            </w:r>
          </w:p>
        </w:tc>
        <w:tc>
          <w:tcPr>
            <w:tcW w:w="776" w:type="dxa"/>
            <w:vAlign w:val="center"/>
          </w:tcPr>
          <w:p w14:paraId="4EE7D364"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sept-25</w:t>
            </w:r>
          </w:p>
        </w:tc>
        <w:tc>
          <w:tcPr>
            <w:tcW w:w="655" w:type="dxa"/>
            <w:vAlign w:val="center"/>
          </w:tcPr>
          <w:p w14:paraId="2EA59346"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oct-25</w:t>
            </w:r>
          </w:p>
        </w:tc>
        <w:tc>
          <w:tcPr>
            <w:tcW w:w="965" w:type="dxa"/>
            <w:vAlign w:val="center"/>
          </w:tcPr>
          <w:p w14:paraId="210FA625"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TOTAL</w:t>
            </w:r>
          </w:p>
        </w:tc>
      </w:tr>
      <w:tr w:rsidR="00894C96" w:rsidRPr="00242DFB" w14:paraId="138EA367" w14:textId="77777777" w:rsidTr="00894C96">
        <w:trPr>
          <w:gridAfter w:val="1"/>
          <w:wAfter w:w="16" w:type="dxa"/>
          <w:cantSplit/>
          <w:trHeight w:val="226"/>
          <w:jc w:val="center"/>
        </w:trPr>
        <w:tc>
          <w:tcPr>
            <w:tcW w:w="1779" w:type="dxa"/>
            <w:vAlign w:val="center"/>
          </w:tcPr>
          <w:p w14:paraId="0493B143"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Cáncer</w:t>
            </w:r>
          </w:p>
        </w:tc>
        <w:tc>
          <w:tcPr>
            <w:tcW w:w="801" w:type="dxa"/>
            <w:vAlign w:val="center"/>
          </w:tcPr>
          <w:p w14:paraId="3103F9B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2.629</w:t>
            </w:r>
          </w:p>
        </w:tc>
        <w:tc>
          <w:tcPr>
            <w:tcW w:w="801" w:type="dxa"/>
            <w:vAlign w:val="center"/>
          </w:tcPr>
          <w:p w14:paraId="00906317"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2.759</w:t>
            </w:r>
          </w:p>
        </w:tc>
        <w:tc>
          <w:tcPr>
            <w:tcW w:w="801" w:type="dxa"/>
            <w:vAlign w:val="center"/>
          </w:tcPr>
          <w:p w14:paraId="3E3608E7"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3.437</w:t>
            </w:r>
          </w:p>
        </w:tc>
        <w:tc>
          <w:tcPr>
            <w:tcW w:w="801" w:type="dxa"/>
            <w:vAlign w:val="center"/>
          </w:tcPr>
          <w:p w14:paraId="3A004B74"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3.007</w:t>
            </w:r>
          </w:p>
        </w:tc>
        <w:tc>
          <w:tcPr>
            <w:tcW w:w="801" w:type="dxa"/>
            <w:vAlign w:val="center"/>
          </w:tcPr>
          <w:p w14:paraId="385B75A9"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2.879</w:t>
            </w:r>
          </w:p>
        </w:tc>
        <w:tc>
          <w:tcPr>
            <w:tcW w:w="801" w:type="dxa"/>
            <w:vAlign w:val="center"/>
          </w:tcPr>
          <w:p w14:paraId="27BDAA0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1.624</w:t>
            </w:r>
          </w:p>
        </w:tc>
        <w:tc>
          <w:tcPr>
            <w:tcW w:w="801" w:type="dxa"/>
            <w:vAlign w:val="center"/>
          </w:tcPr>
          <w:p w14:paraId="32310CB6"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1.237</w:t>
            </w:r>
          </w:p>
        </w:tc>
        <w:tc>
          <w:tcPr>
            <w:tcW w:w="801" w:type="dxa"/>
            <w:vAlign w:val="center"/>
          </w:tcPr>
          <w:p w14:paraId="1EC17C1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1.047</w:t>
            </w:r>
          </w:p>
        </w:tc>
        <w:tc>
          <w:tcPr>
            <w:tcW w:w="776" w:type="dxa"/>
            <w:vAlign w:val="center"/>
          </w:tcPr>
          <w:p w14:paraId="7FC2F76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920</w:t>
            </w:r>
          </w:p>
        </w:tc>
        <w:tc>
          <w:tcPr>
            <w:tcW w:w="655" w:type="dxa"/>
            <w:vAlign w:val="center"/>
          </w:tcPr>
          <w:p w14:paraId="759A9504"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656</w:t>
            </w:r>
          </w:p>
        </w:tc>
        <w:tc>
          <w:tcPr>
            <w:tcW w:w="965" w:type="dxa"/>
            <w:vAlign w:val="center"/>
          </w:tcPr>
          <w:p w14:paraId="4653AFD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20.195</w:t>
            </w:r>
          </w:p>
        </w:tc>
      </w:tr>
      <w:tr w:rsidR="00894C96" w:rsidRPr="00242DFB" w14:paraId="4F5941D8" w14:textId="77777777" w:rsidTr="00894C96">
        <w:trPr>
          <w:gridAfter w:val="1"/>
          <w:wAfter w:w="16" w:type="dxa"/>
          <w:cantSplit/>
          <w:trHeight w:val="226"/>
          <w:jc w:val="center"/>
        </w:trPr>
        <w:tc>
          <w:tcPr>
            <w:tcW w:w="1779" w:type="dxa"/>
            <w:vAlign w:val="center"/>
          </w:tcPr>
          <w:p w14:paraId="621F7265"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Artritis</w:t>
            </w:r>
          </w:p>
        </w:tc>
        <w:tc>
          <w:tcPr>
            <w:tcW w:w="801" w:type="dxa"/>
            <w:vAlign w:val="center"/>
          </w:tcPr>
          <w:p w14:paraId="6B746D92"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1.058</w:t>
            </w:r>
          </w:p>
        </w:tc>
        <w:tc>
          <w:tcPr>
            <w:tcW w:w="801" w:type="dxa"/>
            <w:vAlign w:val="center"/>
          </w:tcPr>
          <w:p w14:paraId="6C9C74EB"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1.186</w:t>
            </w:r>
          </w:p>
        </w:tc>
        <w:tc>
          <w:tcPr>
            <w:tcW w:w="801" w:type="dxa"/>
            <w:vAlign w:val="center"/>
          </w:tcPr>
          <w:p w14:paraId="493E5761"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1.458</w:t>
            </w:r>
          </w:p>
        </w:tc>
        <w:tc>
          <w:tcPr>
            <w:tcW w:w="801" w:type="dxa"/>
            <w:vAlign w:val="center"/>
          </w:tcPr>
          <w:p w14:paraId="77AAEF63"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1.051</w:t>
            </w:r>
          </w:p>
        </w:tc>
        <w:tc>
          <w:tcPr>
            <w:tcW w:w="801" w:type="dxa"/>
            <w:vAlign w:val="center"/>
          </w:tcPr>
          <w:p w14:paraId="73AEB048"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1.259</w:t>
            </w:r>
          </w:p>
        </w:tc>
        <w:tc>
          <w:tcPr>
            <w:tcW w:w="801" w:type="dxa"/>
            <w:vAlign w:val="center"/>
          </w:tcPr>
          <w:p w14:paraId="0FADBC29"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660</w:t>
            </w:r>
          </w:p>
        </w:tc>
        <w:tc>
          <w:tcPr>
            <w:tcW w:w="801" w:type="dxa"/>
            <w:vAlign w:val="center"/>
          </w:tcPr>
          <w:p w14:paraId="17182A11"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485</w:t>
            </w:r>
          </w:p>
        </w:tc>
        <w:tc>
          <w:tcPr>
            <w:tcW w:w="801" w:type="dxa"/>
            <w:vAlign w:val="center"/>
          </w:tcPr>
          <w:p w14:paraId="1512985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331</w:t>
            </w:r>
          </w:p>
        </w:tc>
        <w:tc>
          <w:tcPr>
            <w:tcW w:w="776" w:type="dxa"/>
            <w:vAlign w:val="center"/>
          </w:tcPr>
          <w:p w14:paraId="056BAE28"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344</w:t>
            </w:r>
          </w:p>
        </w:tc>
        <w:tc>
          <w:tcPr>
            <w:tcW w:w="655" w:type="dxa"/>
            <w:vAlign w:val="center"/>
          </w:tcPr>
          <w:p w14:paraId="0F04F8DF"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259</w:t>
            </w:r>
          </w:p>
        </w:tc>
        <w:tc>
          <w:tcPr>
            <w:tcW w:w="965" w:type="dxa"/>
            <w:vAlign w:val="center"/>
          </w:tcPr>
          <w:p w14:paraId="4CCC294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8.091</w:t>
            </w:r>
          </w:p>
        </w:tc>
      </w:tr>
      <w:tr w:rsidR="00894C96" w:rsidRPr="00242DFB" w14:paraId="74B07152" w14:textId="77777777" w:rsidTr="00894C96">
        <w:trPr>
          <w:gridAfter w:val="1"/>
          <w:wAfter w:w="16" w:type="dxa"/>
          <w:cantSplit/>
          <w:trHeight w:val="226"/>
          <w:jc w:val="center"/>
        </w:trPr>
        <w:tc>
          <w:tcPr>
            <w:tcW w:w="1779" w:type="dxa"/>
            <w:vAlign w:val="center"/>
          </w:tcPr>
          <w:p w14:paraId="2E3FD143"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ERC</w:t>
            </w:r>
          </w:p>
        </w:tc>
        <w:tc>
          <w:tcPr>
            <w:tcW w:w="801" w:type="dxa"/>
            <w:vAlign w:val="center"/>
          </w:tcPr>
          <w:p w14:paraId="614BD05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392</w:t>
            </w:r>
          </w:p>
        </w:tc>
        <w:tc>
          <w:tcPr>
            <w:tcW w:w="801" w:type="dxa"/>
            <w:vAlign w:val="center"/>
          </w:tcPr>
          <w:p w14:paraId="348504C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388</w:t>
            </w:r>
          </w:p>
        </w:tc>
        <w:tc>
          <w:tcPr>
            <w:tcW w:w="801" w:type="dxa"/>
            <w:vAlign w:val="center"/>
          </w:tcPr>
          <w:p w14:paraId="6E163331"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560</w:t>
            </w:r>
          </w:p>
        </w:tc>
        <w:tc>
          <w:tcPr>
            <w:tcW w:w="801" w:type="dxa"/>
            <w:vAlign w:val="center"/>
          </w:tcPr>
          <w:p w14:paraId="64B6CF44"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464</w:t>
            </w:r>
          </w:p>
        </w:tc>
        <w:tc>
          <w:tcPr>
            <w:tcW w:w="801" w:type="dxa"/>
            <w:vAlign w:val="center"/>
          </w:tcPr>
          <w:p w14:paraId="543A5644"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423</w:t>
            </w:r>
          </w:p>
        </w:tc>
        <w:tc>
          <w:tcPr>
            <w:tcW w:w="801" w:type="dxa"/>
            <w:vAlign w:val="center"/>
          </w:tcPr>
          <w:p w14:paraId="5D0C647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227</w:t>
            </w:r>
          </w:p>
        </w:tc>
        <w:tc>
          <w:tcPr>
            <w:tcW w:w="801" w:type="dxa"/>
            <w:vAlign w:val="center"/>
          </w:tcPr>
          <w:p w14:paraId="3F77FDE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224</w:t>
            </w:r>
          </w:p>
        </w:tc>
        <w:tc>
          <w:tcPr>
            <w:tcW w:w="801" w:type="dxa"/>
            <w:vAlign w:val="center"/>
          </w:tcPr>
          <w:p w14:paraId="79556A3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124</w:t>
            </w:r>
          </w:p>
        </w:tc>
        <w:tc>
          <w:tcPr>
            <w:tcW w:w="776" w:type="dxa"/>
            <w:vAlign w:val="center"/>
          </w:tcPr>
          <w:p w14:paraId="5CD919F2"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120</w:t>
            </w:r>
          </w:p>
        </w:tc>
        <w:tc>
          <w:tcPr>
            <w:tcW w:w="655" w:type="dxa"/>
            <w:vAlign w:val="center"/>
          </w:tcPr>
          <w:p w14:paraId="0FC541E4"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112</w:t>
            </w:r>
          </w:p>
        </w:tc>
        <w:tc>
          <w:tcPr>
            <w:tcW w:w="965" w:type="dxa"/>
            <w:vAlign w:val="center"/>
          </w:tcPr>
          <w:p w14:paraId="1D7D8DA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3.034</w:t>
            </w:r>
          </w:p>
        </w:tc>
      </w:tr>
      <w:tr w:rsidR="00894C96" w:rsidRPr="00242DFB" w14:paraId="5F28072A" w14:textId="77777777" w:rsidTr="00894C96">
        <w:trPr>
          <w:gridAfter w:val="1"/>
          <w:wAfter w:w="16" w:type="dxa"/>
          <w:cantSplit/>
          <w:trHeight w:val="226"/>
          <w:jc w:val="center"/>
        </w:trPr>
        <w:tc>
          <w:tcPr>
            <w:tcW w:w="1779" w:type="dxa"/>
            <w:vAlign w:val="center"/>
          </w:tcPr>
          <w:p w14:paraId="2FF84A54"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VIH</w:t>
            </w:r>
          </w:p>
        </w:tc>
        <w:tc>
          <w:tcPr>
            <w:tcW w:w="801" w:type="dxa"/>
            <w:vAlign w:val="center"/>
          </w:tcPr>
          <w:p w14:paraId="634855F3"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385</w:t>
            </w:r>
          </w:p>
        </w:tc>
        <w:tc>
          <w:tcPr>
            <w:tcW w:w="801" w:type="dxa"/>
            <w:vAlign w:val="center"/>
          </w:tcPr>
          <w:p w14:paraId="69163885"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372</w:t>
            </w:r>
          </w:p>
        </w:tc>
        <w:tc>
          <w:tcPr>
            <w:tcW w:w="801" w:type="dxa"/>
            <w:vAlign w:val="center"/>
          </w:tcPr>
          <w:p w14:paraId="14834014"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513</w:t>
            </w:r>
          </w:p>
        </w:tc>
        <w:tc>
          <w:tcPr>
            <w:tcW w:w="801" w:type="dxa"/>
            <w:vAlign w:val="center"/>
          </w:tcPr>
          <w:p w14:paraId="0A3DF91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370</w:t>
            </w:r>
          </w:p>
        </w:tc>
        <w:tc>
          <w:tcPr>
            <w:tcW w:w="801" w:type="dxa"/>
            <w:vAlign w:val="center"/>
          </w:tcPr>
          <w:p w14:paraId="068A89B5"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386</w:t>
            </w:r>
          </w:p>
        </w:tc>
        <w:tc>
          <w:tcPr>
            <w:tcW w:w="801" w:type="dxa"/>
            <w:vAlign w:val="center"/>
          </w:tcPr>
          <w:p w14:paraId="0BD192C3"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218</w:t>
            </w:r>
          </w:p>
        </w:tc>
        <w:tc>
          <w:tcPr>
            <w:tcW w:w="801" w:type="dxa"/>
            <w:vAlign w:val="center"/>
          </w:tcPr>
          <w:p w14:paraId="01F80A8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150</w:t>
            </w:r>
          </w:p>
        </w:tc>
        <w:tc>
          <w:tcPr>
            <w:tcW w:w="801" w:type="dxa"/>
            <w:vAlign w:val="center"/>
          </w:tcPr>
          <w:p w14:paraId="23B9702F"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144</w:t>
            </w:r>
          </w:p>
        </w:tc>
        <w:tc>
          <w:tcPr>
            <w:tcW w:w="776" w:type="dxa"/>
            <w:vAlign w:val="center"/>
          </w:tcPr>
          <w:p w14:paraId="1C116DF5"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127</w:t>
            </w:r>
          </w:p>
        </w:tc>
        <w:tc>
          <w:tcPr>
            <w:tcW w:w="655" w:type="dxa"/>
            <w:vAlign w:val="center"/>
          </w:tcPr>
          <w:p w14:paraId="63B400E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73</w:t>
            </w:r>
          </w:p>
        </w:tc>
        <w:tc>
          <w:tcPr>
            <w:tcW w:w="965" w:type="dxa"/>
            <w:vAlign w:val="center"/>
          </w:tcPr>
          <w:p w14:paraId="0B949BC2"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2738</w:t>
            </w:r>
          </w:p>
        </w:tc>
      </w:tr>
      <w:tr w:rsidR="00894C96" w:rsidRPr="00242DFB" w14:paraId="6C64F0CE" w14:textId="77777777" w:rsidTr="00894C96">
        <w:trPr>
          <w:gridAfter w:val="1"/>
          <w:wAfter w:w="16" w:type="dxa"/>
          <w:cantSplit/>
          <w:trHeight w:val="226"/>
          <w:jc w:val="center"/>
        </w:trPr>
        <w:tc>
          <w:tcPr>
            <w:tcW w:w="1779" w:type="dxa"/>
            <w:vAlign w:val="center"/>
          </w:tcPr>
          <w:p w14:paraId="1DA7BE1C"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Huérfanas</w:t>
            </w:r>
          </w:p>
        </w:tc>
        <w:tc>
          <w:tcPr>
            <w:tcW w:w="801" w:type="dxa"/>
            <w:vAlign w:val="center"/>
          </w:tcPr>
          <w:p w14:paraId="47350892"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165</w:t>
            </w:r>
          </w:p>
        </w:tc>
        <w:tc>
          <w:tcPr>
            <w:tcW w:w="801" w:type="dxa"/>
            <w:vAlign w:val="center"/>
          </w:tcPr>
          <w:p w14:paraId="58969F0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212</w:t>
            </w:r>
          </w:p>
        </w:tc>
        <w:tc>
          <w:tcPr>
            <w:tcW w:w="801" w:type="dxa"/>
            <w:vAlign w:val="center"/>
          </w:tcPr>
          <w:p w14:paraId="2560CA02"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284</w:t>
            </w:r>
          </w:p>
        </w:tc>
        <w:tc>
          <w:tcPr>
            <w:tcW w:w="801" w:type="dxa"/>
            <w:vAlign w:val="center"/>
          </w:tcPr>
          <w:p w14:paraId="0D32741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207</w:t>
            </w:r>
          </w:p>
        </w:tc>
        <w:tc>
          <w:tcPr>
            <w:tcW w:w="801" w:type="dxa"/>
            <w:vAlign w:val="center"/>
          </w:tcPr>
          <w:p w14:paraId="639D37A7"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198</w:t>
            </w:r>
          </w:p>
        </w:tc>
        <w:tc>
          <w:tcPr>
            <w:tcW w:w="801" w:type="dxa"/>
            <w:vAlign w:val="center"/>
          </w:tcPr>
          <w:p w14:paraId="216CE793"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106</w:t>
            </w:r>
          </w:p>
        </w:tc>
        <w:tc>
          <w:tcPr>
            <w:tcW w:w="801" w:type="dxa"/>
            <w:vAlign w:val="center"/>
          </w:tcPr>
          <w:p w14:paraId="69FCA713"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108</w:t>
            </w:r>
          </w:p>
        </w:tc>
        <w:tc>
          <w:tcPr>
            <w:tcW w:w="801" w:type="dxa"/>
            <w:vAlign w:val="center"/>
          </w:tcPr>
          <w:p w14:paraId="1CA27858"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71</w:t>
            </w:r>
          </w:p>
        </w:tc>
        <w:tc>
          <w:tcPr>
            <w:tcW w:w="776" w:type="dxa"/>
            <w:vAlign w:val="center"/>
          </w:tcPr>
          <w:p w14:paraId="1FEF85C9"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85</w:t>
            </w:r>
          </w:p>
        </w:tc>
        <w:tc>
          <w:tcPr>
            <w:tcW w:w="655" w:type="dxa"/>
            <w:vAlign w:val="center"/>
          </w:tcPr>
          <w:p w14:paraId="42EC443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67</w:t>
            </w:r>
          </w:p>
        </w:tc>
        <w:tc>
          <w:tcPr>
            <w:tcW w:w="965" w:type="dxa"/>
            <w:vAlign w:val="center"/>
          </w:tcPr>
          <w:p w14:paraId="7D02B84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1.503</w:t>
            </w:r>
          </w:p>
        </w:tc>
      </w:tr>
      <w:tr w:rsidR="00894C96" w:rsidRPr="00242DFB" w14:paraId="16C6028A" w14:textId="77777777" w:rsidTr="00894C96">
        <w:trPr>
          <w:gridAfter w:val="1"/>
          <w:wAfter w:w="16" w:type="dxa"/>
          <w:cantSplit/>
          <w:trHeight w:val="226"/>
          <w:jc w:val="center"/>
        </w:trPr>
        <w:tc>
          <w:tcPr>
            <w:tcW w:w="1779" w:type="dxa"/>
            <w:vAlign w:val="center"/>
          </w:tcPr>
          <w:p w14:paraId="77770DD6"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Hepatitis C</w:t>
            </w:r>
          </w:p>
        </w:tc>
        <w:tc>
          <w:tcPr>
            <w:tcW w:w="801" w:type="dxa"/>
            <w:vAlign w:val="center"/>
          </w:tcPr>
          <w:p w14:paraId="2D5AC673"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16</w:t>
            </w:r>
          </w:p>
        </w:tc>
        <w:tc>
          <w:tcPr>
            <w:tcW w:w="801" w:type="dxa"/>
            <w:vAlign w:val="center"/>
          </w:tcPr>
          <w:p w14:paraId="0E7BFF6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14</w:t>
            </w:r>
          </w:p>
        </w:tc>
        <w:tc>
          <w:tcPr>
            <w:tcW w:w="801" w:type="dxa"/>
            <w:vAlign w:val="center"/>
          </w:tcPr>
          <w:p w14:paraId="46029D50"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11</w:t>
            </w:r>
          </w:p>
        </w:tc>
        <w:tc>
          <w:tcPr>
            <w:tcW w:w="801" w:type="dxa"/>
            <w:vAlign w:val="center"/>
          </w:tcPr>
          <w:p w14:paraId="6D59E00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14</w:t>
            </w:r>
          </w:p>
        </w:tc>
        <w:tc>
          <w:tcPr>
            <w:tcW w:w="801" w:type="dxa"/>
            <w:vAlign w:val="center"/>
          </w:tcPr>
          <w:p w14:paraId="2BF53255"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19</w:t>
            </w:r>
          </w:p>
        </w:tc>
        <w:tc>
          <w:tcPr>
            <w:tcW w:w="801" w:type="dxa"/>
            <w:vAlign w:val="center"/>
          </w:tcPr>
          <w:p w14:paraId="7898B806"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11</w:t>
            </w:r>
          </w:p>
        </w:tc>
        <w:tc>
          <w:tcPr>
            <w:tcW w:w="801" w:type="dxa"/>
            <w:vAlign w:val="center"/>
          </w:tcPr>
          <w:p w14:paraId="15D8B385"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w:t>
            </w:r>
          </w:p>
        </w:tc>
        <w:tc>
          <w:tcPr>
            <w:tcW w:w="801" w:type="dxa"/>
            <w:vAlign w:val="center"/>
          </w:tcPr>
          <w:p w14:paraId="356BBA2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w:t>
            </w:r>
          </w:p>
        </w:tc>
        <w:tc>
          <w:tcPr>
            <w:tcW w:w="776" w:type="dxa"/>
            <w:vAlign w:val="center"/>
          </w:tcPr>
          <w:p w14:paraId="00D2276B"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9</w:t>
            </w:r>
          </w:p>
        </w:tc>
        <w:tc>
          <w:tcPr>
            <w:tcW w:w="655" w:type="dxa"/>
            <w:vAlign w:val="center"/>
          </w:tcPr>
          <w:p w14:paraId="193EE9E6"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w:t>
            </w:r>
          </w:p>
        </w:tc>
        <w:tc>
          <w:tcPr>
            <w:tcW w:w="965" w:type="dxa"/>
            <w:vAlign w:val="center"/>
          </w:tcPr>
          <w:p w14:paraId="1D9FCE9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103</w:t>
            </w:r>
          </w:p>
        </w:tc>
      </w:tr>
      <w:tr w:rsidR="00894C96" w:rsidRPr="00242DFB" w14:paraId="1C856131" w14:textId="77777777" w:rsidTr="00894C96">
        <w:trPr>
          <w:gridAfter w:val="1"/>
          <w:wAfter w:w="16" w:type="dxa"/>
          <w:cantSplit/>
          <w:trHeight w:val="226"/>
          <w:jc w:val="center"/>
        </w:trPr>
        <w:tc>
          <w:tcPr>
            <w:tcW w:w="1779" w:type="dxa"/>
            <w:vAlign w:val="center"/>
          </w:tcPr>
          <w:p w14:paraId="455C2B62"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Trasplantados</w:t>
            </w:r>
          </w:p>
        </w:tc>
        <w:tc>
          <w:tcPr>
            <w:tcW w:w="801" w:type="dxa"/>
            <w:vAlign w:val="center"/>
          </w:tcPr>
          <w:p w14:paraId="7BF9161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14</w:t>
            </w:r>
          </w:p>
        </w:tc>
        <w:tc>
          <w:tcPr>
            <w:tcW w:w="801" w:type="dxa"/>
            <w:vAlign w:val="center"/>
          </w:tcPr>
          <w:p w14:paraId="1DD27862"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13</w:t>
            </w:r>
          </w:p>
        </w:tc>
        <w:tc>
          <w:tcPr>
            <w:tcW w:w="801" w:type="dxa"/>
            <w:vAlign w:val="center"/>
          </w:tcPr>
          <w:p w14:paraId="2E610844"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9</w:t>
            </w:r>
          </w:p>
        </w:tc>
        <w:tc>
          <w:tcPr>
            <w:tcW w:w="801" w:type="dxa"/>
            <w:vAlign w:val="center"/>
          </w:tcPr>
          <w:p w14:paraId="5B86E92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11</w:t>
            </w:r>
          </w:p>
        </w:tc>
        <w:tc>
          <w:tcPr>
            <w:tcW w:w="801" w:type="dxa"/>
            <w:vAlign w:val="center"/>
          </w:tcPr>
          <w:p w14:paraId="61AC4055"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w:t>
            </w:r>
          </w:p>
        </w:tc>
        <w:tc>
          <w:tcPr>
            <w:tcW w:w="801" w:type="dxa"/>
            <w:vAlign w:val="center"/>
          </w:tcPr>
          <w:p w14:paraId="282CE6A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w:t>
            </w:r>
          </w:p>
        </w:tc>
        <w:tc>
          <w:tcPr>
            <w:tcW w:w="801" w:type="dxa"/>
            <w:vAlign w:val="center"/>
          </w:tcPr>
          <w:p w14:paraId="5D9A66F8"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w:t>
            </w:r>
          </w:p>
        </w:tc>
        <w:tc>
          <w:tcPr>
            <w:tcW w:w="801" w:type="dxa"/>
            <w:vAlign w:val="center"/>
          </w:tcPr>
          <w:p w14:paraId="076D160F"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w:t>
            </w:r>
          </w:p>
        </w:tc>
        <w:tc>
          <w:tcPr>
            <w:tcW w:w="776" w:type="dxa"/>
            <w:vAlign w:val="center"/>
          </w:tcPr>
          <w:p w14:paraId="7EF3E861"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w:t>
            </w:r>
          </w:p>
        </w:tc>
        <w:tc>
          <w:tcPr>
            <w:tcW w:w="655" w:type="dxa"/>
            <w:vAlign w:val="center"/>
          </w:tcPr>
          <w:p w14:paraId="6E26D483"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w:t>
            </w:r>
          </w:p>
        </w:tc>
        <w:tc>
          <w:tcPr>
            <w:tcW w:w="965" w:type="dxa"/>
            <w:vAlign w:val="center"/>
          </w:tcPr>
          <w:p w14:paraId="62B3886B"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66</w:t>
            </w:r>
          </w:p>
        </w:tc>
      </w:tr>
      <w:tr w:rsidR="00894C96" w:rsidRPr="00242DFB" w14:paraId="45C341C3" w14:textId="77777777" w:rsidTr="00894C96">
        <w:trPr>
          <w:gridAfter w:val="1"/>
          <w:wAfter w:w="16" w:type="dxa"/>
          <w:cantSplit/>
          <w:trHeight w:val="251"/>
          <w:jc w:val="center"/>
        </w:trPr>
        <w:tc>
          <w:tcPr>
            <w:tcW w:w="1779" w:type="dxa"/>
            <w:vAlign w:val="center"/>
          </w:tcPr>
          <w:p w14:paraId="43EE52FE"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Hemofilia</w:t>
            </w:r>
          </w:p>
        </w:tc>
        <w:tc>
          <w:tcPr>
            <w:tcW w:w="801" w:type="dxa"/>
            <w:vAlign w:val="center"/>
          </w:tcPr>
          <w:p w14:paraId="28F2AAF9"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w:t>
            </w:r>
          </w:p>
        </w:tc>
        <w:tc>
          <w:tcPr>
            <w:tcW w:w="801" w:type="dxa"/>
            <w:vAlign w:val="center"/>
          </w:tcPr>
          <w:p w14:paraId="0095DDF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w:t>
            </w:r>
          </w:p>
        </w:tc>
        <w:tc>
          <w:tcPr>
            <w:tcW w:w="801" w:type="dxa"/>
            <w:vAlign w:val="center"/>
          </w:tcPr>
          <w:p w14:paraId="1071E9F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w:t>
            </w:r>
          </w:p>
        </w:tc>
        <w:tc>
          <w:tcPr>
            <w:tcW w:w="801" w:type="dxa"/>
            <w:vAlign w:val="center"/>
          </w:tcPr>
          <w:p w14:paraId="7D2A2F6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w:t>
            </w:r>
          </w:p>
        </w:tc>
        <w:tc>
          <w:tcPr>
            <w:tcW w:w="801" w:type="dxa"/>
            <w:vAlign w:val="center"/>
          </w:tcPr>
          <w:p w14:paraId="566A6DDB"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w:t>
            </w:r>
          </w:p>
        </w:tc>
        <w:tc>
          <w:tcPr>
            <w:tcW w:w="801" w:type="dxa"/>
            <w:vAlign w:val="center"/>
          </w:tcPr>
          <w:p w14:paraId="4C055987"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0</w:t>
            </w:r>
          </w:p>
        </w:tc>
        <w:tc>
          <w:tcPr>
            <w:tcW w:w="801" w:type="dxa"/>
            <w:vAlign w:val="center"/>
          </w:tcPr>
          <w:p w14:paraId="04486A43"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w:t>
            </w:r>
          </w:p>
        </w:tc>
        <w:tc>
          <w:tcPr>
            <w:tcW w:w="801" w:type="dxa"/>
            <w:vAlign w:val="center"/>
          </w:tcPr>
          <w:p w14:paraId="69213420"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w:t>
            </w:r>
          </w:p>
        </w:tc>
        <w:tc>
          <w:tcPr>
            <w:tcW w:w="776" w:type="dxa"/>
            <w:vAlign w:val="center"/>
          </w:tcPr>
          <w:p w14:paraId="39D99AC6"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w:t>
            </w:r>
          </w:p>
        </w:tc>
        <w:tc>
          <w:tcPr>
            <w:tcW w:w="655" w:type="dxa"/>
            <w:vAlign w:val="center"/>
          </w:tcPr>
          <w:p w14:paraId="6C136E07"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w:t>
            </w:r>
          </w:p>
        </w:tc>
        <w:tc>
          <w:tcPr>
            <w:tcW w:w="965" w:type="dxa"/>
            <w:vAlign w:val="center"/>
          </w:tcPr>
          <w:p w14:paraId="4070E30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33</w:t>
            </w:r>
          </w:p>
        </w:tc>
      </w:tr>
    </w:tbl>
    <w:p w14:paraId="6EBEC016" w14:textId="77777777" w:rsidR="009F762E" w:rsidRPr="00242DFB" w:rsidRDefault="00000000" w:rsidP="002A0E52">
      <w:pPr>
        <w:spacing w:line="360" w:lineRule="auto"/>
        <w:jc w:val="both"/>
        <w:rPr>
          <w:rFonts w:ascii="Arial" w:eastAsia="Arial" w:hAnsi="Arial" w:cs="Arial"/>
          <w:color w:val="000000" w:themeColor="text1"/>
          <w:sz w:val="16"/>
          <w:szCs w:val="16"/>
        </w:rPr>
      </w:pPr>
      <w:r w:rsidRPr="00242DFB">
        <w:rPr>
          <w:rFonts w:ascii="Arial" w:eastAsia="Arial" w:hAnsi="Arial" w:cs="Arial"/>
          <w:color w:val="000000"/>
          <w:sz w:val="16"/>
          <w:szCs w:val="16"/>
        </w:rPr>
        <w:t>Fuente: Capital Salud EPS-S Respuesta al requerimiento No. 026-EE-54444 de la Subdirección de Garantía del Aseguramiento, mediante la cual se remite información de medicamentos solicitados por cohorte (serie mensual enero–octubre de 2025).</w:t>
      </w:r>
    </w:p>
    <w:p w14:paraId="26DBFB90" w14:textId="77777777" w:rsidR="009F762E" w:rsidRPr="00242DFB" w:rsidRDefault="009F762E" w:rsidP="002A0E52">
      <w:pPr>
        <w:spacing w:line="360" w:lineRule="auto"/>
        <w:jc w:val="both"/>
        <w:rPr>
          <w:rFonts w:ascii="Arial" w:eastAsia="Arial" w:hAnsi="Arial" w:cs="Arial"/>
          <w:color w:val="000000" w:themeColor="text1"/>
        </w:rPr>
      </w:pPr>
    </w:p>
    <w:p w14:paraId="604E889F" w14:textId="30143340"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La Tabla </w:t>
      </w:r>
      <w:r w:rsidR="00894C96" w:rsidRPr="00242DFB">
        <w:rPr>
          <w:rFonts w:ascii="Arial" w:eastAsia="Arial" w:hAnsi="Arial" w:cs="Arial"/>
          <w:color w:val="000000"/>
        </w:rPr>
        <w:t xml:space="preserve">21 </w:t>
      </w:r>
      <w:r w:rsidRPr="00242DFB">
        <w:rPr>
          <w:rFonts w:ascii="Arial" w:eastAsia="Arial" w:hAnsi="Arial" w:cs="Arial"/>
          <w:color w:val="000000"/>
        </w:rPr>
        <w:t>permite evidenciar que una proporción importante de los medicamentos pendientes registrados no logró materializarse en una entrega efectiva a la fecha de corte del reporte. Esta situación resulta especialmente relevante, ya que refleja la existencia de requerimientos farmacológicos que continúan sin resolverse y que, por tanto, mantienen vigente el riesgo de interrupción o retraso en los tratamientos prescritos.</w:t>
      </w:r>
    </w:p>
    <w:p w14:paraId="3FDC1647" w14:textId="77777777" w:rsidR="009F762E" w:rsidRPr="00242DFB" w:rsidRDefault="009F762E" w:rsidP="002A0E52">
      <w:pPr>
        <w:spacing w:line="360" w:lineRule="auto"/>
        <w:jc w:val="both"/>
        <w:rPr>
          <w:rFonts w:ascii="Arial" w:hAnsi="Arial" w:cs="Arial"/>
          <w:color w:val="000000" w:themeColor="text1"/>
        </w:rPr>
      </w:pPr>
    </w:p>
    <w:p w14:paraId="794F6573"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Se observa que la cohorte de Cáncer concentra 20.195 medicamentos pendientes sin entrega efectiva, equivalente al 56,4 % del total reportado para todas las cohortes priorizadas. Este comportamiento confirma que el principal riesgo de afectación a la continuidad terapéutica se encuentra en esta población, la cual requiere esquemas farmacológicos especializados y sensibles a retrasos en su administración. En consecuencia, cualquier falla persistente en el suministro puede tener repercusiones clínicas significativas.</w:t>
      </w:r>
    </w:p>
    <w:p w14:paraId="75F3EDCD" w14:textId="77777777" w:rsidR="009F762E" w:rsidRPr="00242DFB" w:rsidRDefault="009F762E" w:rsidP="002A0E52">
      <w:pPr>
        <w:spacing w:line="360" w:lineRule="auto"/>
        <w:jc w:val="both"/>
        <w:rPr>
          <w:rFonts w:ascii="Arial" w:hAnsi="Arial" w:cs="Arial"/>
          <w:color w:val="000000" w:themeColor="text1"/>
        </w:rPr>
      </w:pPr>
    </w:p>
    <w:p w14:paraId="29F6C996"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De igual forma, las cohortes de Artritis, ERC y VIH acumulan conjuntamente 13.863 medicamentos pendientes sin entrega efectiva, representando cerca del 38,7 % del total. Aunque sus volúmenes son inferiores a los observados en cáncer, se trata de patologías que demandan tratamientos continuos y sostenidos en el tiempo, por lo que la permanencia de pendientes sin resolver puede generar riesgos asociados a pérdida de adherencia, progresión de la enfermedad, recaídas o necesidad de intervenciones asistenciales de mayor complejidad.</w:t>
      </w:r>
    </w:p>
    <w:p w14:paraId="7BA0398F" w14:textId="77777777" w:rsidR="009F762E" w:rsidRPr="00242DFB" w:rsidRDefault="009F762E" w:rsidP="002A0E52">
      <w:pPr>
        <w:spacing w:line="360" w:lineRule="auto"/>
        <w:jc w:val="both"/>
        <w:rPr>
          <w:rFonts w:ascii="Arial" w:eastAsia="Arial" w:hAnsi="Arial" w:cs="Arial"/>
          <w:color w:val="000000" w:themeColor="text1"/>
        </w:rPr>
      </w:pPr>
    </w:p>
    <w:p w14:paraId="4CCD1A62"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Finalmente, la reducción progresiva observada a partir del segundo semestre en la mayoría de las cohortes podría interpretarse como una mejora en la capacidad de respuesta del operador farmacéutico o en la gestión de los pendientes acumulados (especialmente en el mes de octubre). Sin embargo, dado que el descenso se presenta de forma simultánea en todas las cohortes, resulta necesario verificar si este comportamiento corresponde efectivamente a una disminución real de los </w:t>
      </w:r>
      <w:r w:rsidRPr="00242DFB">
        <w:rPr>
          <w:rFonts w:ascii="Arial" w:eastAsia="Arial" w:hAnsi="Arial" w:cs="Arial"/>
          <w:color w:val="000000"/>
        </w:rPr>
        <w:lastRenderedPageBreak/>
        <w:t>casos sin entrega, a procesos de depuración de bases de datos o a modificaciones en los criterios utilizados para el reporte de la información.</w:t>
      </w:r>
    </w:p>
    <w:p w14:paraId="64198F32" w14:textId="77777777" w:rsidR="00BC2693" w:rsidRPr="00242DFB" w:rsidRDefault="00BC2693" w:rsidP="00BC2693">
      <w:pPr>
        <w:pStyle w:val="Descripcin"/>
        <w:keepNext/>
        <w:jc w:val="center"/>
        <w:rPr>
          <w:rFonts w:ascii="Arial" w:hAnsi="Arial" w:cs="Arial"/>
          <w:color w:val="000000" w:themeColor="text1"/>
          <w:sz w:val="24"/>
          <w:szCs w:val="24"/>
        </w:rPr>
      </w:pPr>
    </w:p>
    <w:p w14:paraId="16EE75A2" w14:textId="0F6408D4" w:rsidR="00BC2693" w:rsidRPr="00242DFB" w:rsidRDefault="00BC2693" w:rsidP="00BC2693">
      <w:pPr>
        <w:pStyle w:val="Descripcin"/>
        <w:keepNext/>
        <w:jc w:val="center"/>
        <w:rPr>
          <w:rFonts w:ascii="Arial" w:hAnsi="Arial" w:cs="Arial"/>
          <w:color w:val="000000" w:themeColor="text1"/>
          <w:sz w:val="24"/>
          <w:szCs w:val="24"/>
        </w:rPr>
      </w:pPr>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22</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Porcentaje de medicamentos pendientes sin entrega efectiva por cohorte priorizada, enero-octubre de 2025</w:t>
      </w:r>
    </w:p>
    <w:tbl>
      <w:tblPr>
        <w:tblStyle w:val="Tablaconcuadrcula"/>
        <w:tblW w:w="10279" w:type="dxa"/>
        <w:jc w:val="center"/>
        <w:tblLayout w:type="fixed"/>
        <w:tblLook w:val="06A0" w:firstRow="1" w:lastRow="0" w:firstColumn="1" w:lastColumn="0" w:noHBand="1" w:noVBand="1"/>
      </w:tblPr>
      <w:tblGrid>
        <w:gridCol w:w="2104"/>
        <w:gridCol w:w="659"/>
        <w:gridCol w:w="763"/>
        <w:gridCol w:w="681"/>
        <w:gridCol w:w="648"/>
        <w:gridCol w:w="718"/>
        <w:gridCol w:w="649"/>
        <w:gridCol w:w="648"/>
        <w:gridCol w:w="671"/>
        <w:gridCol w:w="729"/>
        <w:gridCol w:w="647"/>
        <w:gridCol w:w="1355"/>
        <w:gridCol w:w="7"/>
      </w:tblGrid>
      <w:tr w:rsidR="009F762E" w:rsidRPr="00242DFB" w14:paraId="3BAA1294" w14:textId="77777777" w:rsidTr="00BC2693">
        <w:trPr>
          <w:cantSplit/>
          <w:trHeight w:val="382"/>
          <w:jc w:val="center"/>
        </w:trPr>
        <w:tc>
          <w:tcPr>
            <w:tcW w:w="2104" w:type="dxa"/>
            <w:vMerge w:val="restart"/>
            <w:vAlign w:val="center"/>
          </w:tcPr>
          <w:p w14:paraId="41768F92"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kern w:val="2"/>
              </w:rPr>
              <w:t xml:space="preserve"> </w:t>
            </w:r>
            <w:r w:rsidRPr="00242DFB">
              <w:rPr>
                <w:rFonts w:ascii="Arial" w:eastAsia="Arial" w:hAnsi="Arial" w:cs="Arial"/>
                <w:b/>
                <w:bCs/>
                <w:color w:val="000000" w:themeColor="text1"/>
                <w:kern w:val="2"/>
              </w:rPr>
              <w:t xml:space="preserve">Cohorte </w:t>
            </w:r>
          </w:p>
        </w:tc>
        <w:tc>
          <w:tcPr>
            <w:tcW w:w="8175" w:type="dxa"/>
            <w:gridSpan w:val="12"/>
            <w:vAlign w:val="center"/>
          </w:tcPr>
          <w:p w14:paraId="7C6EA482"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 xml:space="preserve">Porcentaje medicamentos pendientes sin entrega efectiva  </w:t>
            </w:r>
          </w:p>
        </w:tc>
      </w:tr>
      <w:tr w:rsidR="009F762E" w:rsidRPr="00242DFB" w14:paraId="60AE431F" w14:textId="77777777" w:rsidTr="00BC2693">
        <w:trPr>
          <w:gridAfter w:val="1"/>
          <w:wAfter w:w="7" w:type="dxa"/>
          <w:cantSplit/>
          <w:trHeight w:val="260"/>
          <w:jc w:val="center"/>
        </w:trPr>
        <w:tc>
          <w:tcPr>
            <w:tcW w:w="2104" w:type="dxa"/>
            <w:vMerge/>
            <w:vAlign w:val="center"/>
          </w:tcPr>
          <w:p w14:paraId="06977B48" w14:textId="77777777" w:rsidR="009F762E" w:rsidRPr="00242DFB" w:rsidRDefault="009F762E" w:rsidP="002A0E52">
            <w:pPr>
              <w:spacing w:line="360" w:lineRule="auto"/>
              <w:rPr>
                <w:rFonts w:ascii="Arial" w:hAnsi="Arial" w:cs="Arial"/>
                <w:color w:val="000000" w:themeColor="text1"/>
              </w:rPr>
            </w:pPr>
          </w:p>
        </w:tc>
        <w:tc>
          <w:tcPr>
            <w:tcW w:w="659" w:type="dxa"/>
            <w:vAlign w:val="center"/>
          </w:tcPr>
          <w:p w14:paraId="7C611F84"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ene-25</w:t>
            </w:r>
          </w:p>
        </w:tc>
        <w:tc>
          <w:tcPr>
            <w:tcW w:w="763" w:type="dxa"/>
            <w:vAlign w:val="center"/>
          </w:tcPr>
          <w:p w14:paraId="35030B28"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feb-25</w:t>
            </w:r>
          </w:p>
        </w:tc>
        <w:tc>
          <w:tcPr>
            <w:tcW w:w="681" w:type="dxa"/>
            <w:vAlign w:val="center"/>
          </w:tcPr>
          <w:p w14:paraId="50CFCF47"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mar-25</w:t>
            </w:r>
          </w:p>
        </w:tc>
        <w:tc>
          <w:tcPr>
            <w:tcW w:w="648" w:type="dxa"/>
            <w:vAlign w:val="center"/>
          </w:tcPr>
          <w:p w14:paraId="4F4FB726"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abr-25</w:t>
            </w:r>
          </w:p>
        </w:tc>
        <w:tc>
          <w:tcPr>
            <w:tcW w:w="718" w:type="dxa"/>
            <w:vAlign w:val="center"/>
          </w:tcPr>
          <w:p w14:paraId="40321D46"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may-25</w:t>
            </w:r>
          </w:p>
        </w:tc>
        <w:tc>
          <w:tcPr>
            <w:tcW w:w="649" w:type="dxa"/>
            <w:vAlign w:val="center"/>
          </w:tcPr>
          <w:p w14:paraId="5D99D28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jun-25</w:t>
            </w:r>
          </w:p>
        </w:tc>
        <w:tc>
          <w:tcPr>
            <w:tcW w:w="648" w:type="dxa"/>
            <w:vAlign w:val="center"/>
          </w:tcPr>
          <w:p w14:paraId="712F8067"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jul-25</w:t>
            </w:r>
          </w:p>
        </w:tc>
        <w:tc>
          <w:tcPr>
            <w:tcW w:w="671" w:type="dxa"/>
            <w:vAlign w:val="center"/>
          </w:tcPr>
          <w:p w14:paraId="465DE20F"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ago-25</w:t>
            </w:r>
          </w:p>
        </w:tc>
        <w:tc>
          <w:tcPr>
            <w:tcW w:w="729" w:type="dxa"/>
            <w:vAlign w:val="center"/>
          </w:tcPr>
          <w:p w14:paraId="1AB62FF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sept-25</w:t>
            </w:r>
          </w:p>
        </w:tc>
        <w:tc>
          <w:tcPr>
            <w:tcW w:w="647" w:type="dxa"/>
            <w:vAlign w:val="center"/>
          </w:tcPr>
          <w:p w14:paraId="5A5BF53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oct-25</w:t>
            </w:r>
          </w:p>
        </w:tc>
        <w:tc>
          <w:tcPr>
            <w:tcW w:w="1355" w:type="dxa"/>
            <w:vAlign w:val="center"/>
          </w:tcPr>
          <w:p w14:paraId="14DC40C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 xml:space="preserve">PROMEDIO </w:t>
            </w:r>
          </w:p>
        </w:tc>
      </w:tr>
      <w:tr w:rsidR="009F762E" w:rsidRPr="00242DFB" w14:paraId="2E665D67" w14:textId="77777777" w:rsidTr="00BC2693">
        <w:trPr>
          <w:gridAfter w:val="1"/>
          <w:wAfter w:w="7" w:type="dxa"/>
          <w:cantSplit/>
          <w:trHeight w:val="260"/>
          <w:jc w:val="center"/>
        </w:trPr>
        <w:tc>
          <w:tcPr>
            <w:tcW w:w="2104" w:type="dxa"/>
            <w:vAlign w:val="center"/>
          </w:tcPr>
          <w:p w14:paraId="1851EFE1"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Hepatitis C</w:t>
            </w:r>
          </w:p>
        </w:tc>
        <w:tc>
          <w:tcPr>
            <w:tcW w:w="659" w:type="dxa"/>
            <w:vAlign w:val="center"/>
          </w:tcPr>
          <w:p w14:paraId="1A6C48A2"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84%</w:t>
            </w:r>
          </w:p>
        </w:tc>
        <w:tc>
          <w:tcPr>
            <w:tcW w:w="763" w:type="dxa"/>
            <w:vAlign w:val="center"/>
          </w:tcPr>
          <w:p w14:paraId="472B23A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78%</w:t>
            </w:r>
          </w:p>
        </w:tc>
        <w:tc>
          <w:tcPr>
            <w:tcW w:w="681" w:type="dxa"/>
            <w:vAlign w:val="center"/>
          </w:tcPr>
          <w:p w14:paraId="5D047FD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44%</w:t>
            </w:r>
          </w:p>
        </w:tc>
        <w:tc>
          <w:tcPr>
            <w:tcW w:w="648" w:type="dxa"/>
            <w:vAlign w:val="center"/>
          </w:tcPr>
          <w:p w14:paraId="10A9F6D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64%</w:t>
            </w:r>
          </w:p>
        </w:tc>
        <w:tc>
          <w:tcPr>
            <w:tcW w:w="718" w:type="dxa"/>
            <w:vAlign w:val="center"/>
          </w:tcPr>
          <w:p w14:paraId="63702AE4"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66%</w:t>
            </w:r>
          </w:p>
        </w:tc>
        <w:tc>
          <w:tcPr>
            <w:tcW w:w="649" w:type="dxa"/>
            <w:vAlign w:val="center"/>
          </w:tcPr>
          <w:p w14:paraId="612A45EB"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79%</w:t>
            </w:r>
          </w:p>
        </w:tc>
        <w:tc>
          <w:tcPr>
            <w:tcW w:w="648" w:type="dxa"/>
            <w:vAlign w:val="center"/>
          </w:tcPr>
          <w:p w14:paraId="2DC92116"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20%</w:t>
            </w:r>
          </w:p>
        </w:tc>
        <w:tc>
          <w:tcPr>
            <w:tcW w:w="671" w:type="dxa"/>
            <w:vAlign w:val="center"/>
          </w:tcPr>
          <w:p w14:paraId="1807253B"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33%</w:t>
            </w:r>
          </w:p>
        </w:tc>
        <w:tc>
          <w:tcPr>
            <w:tcW w:w="729" w:type="dxa"/>
            <w:vAlign w:val="center"/>
          </w:tcPr>
          <w:p w14:paraId="652C12E9"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30%</w:t>
            </w:r>
          </w:p>
        </w:tc>
        <w:tc>
          <w:tcPr>
            <w:tcW w:w="647" w:type="dxa"/>
            <w:vAlign w:val="center"/>
          </w:tcPr>
          <w:p w14:paraId="66DE639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10%</w:t>
            </w:r>
          </w:p>
        </w:tc>
        <w:tc>
          <w:tcPr>
            <w:tcW w:w="1355" w:type="dxa"/>
            <w:vAlign w:val="center"/>
          </w:tcPr>
          <w:p w14:paraId="7CA0583F"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55%</w:t>
            </w:r>
          </w:p>
        </w:tc>
      </w:tr>
      <w:tr w:rsidR="009F762E" w:rsidRPr="00242DFB" w14:paraId="6A898E06" w14:textId="77777777" w:rsidTr="00BC2693">
        <w:trPr>
          <w:gridAfter w:val="1"/>
          <w:wAfter w:w="7" w:type="dxa"/>
          <w:cantSplit/>
          <w:trHeight w:val="260"/>
          <w:jc w:val="center"/>
        </w:trPr>
        <w:tc>
          <w:tcPr>
            <w:tcW w:w="2104" w:type="dxa"/>
            <w:vAlign w:val="center"/>
          </w:tcPr>
          <w:p w14:paraId="2819FD47"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Hemofilia</w:t>
            </w:r>
          </w:p>
        </w:tc>
        <w:tc>
          <w:tcPr>
            <w:tcW w:w="659" w:type="dxa"/>
            <w:vAlign w:val="center"/>
          </w:tcPr>
          <w:p w14:paraId="081663D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86%</w:t>
            </w:r>
          </w:p>
        </w:tc>
        <w:tc>
          <w:tcPr>
            <w:tcW w:w="763" w:type="dxa"/>
            <w:vAlign w:val="center"/>
          </w:tcPr>
          <w:p w14:paraId="5E01CB4F"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100%</w:t>
            </w:r>
          </w:p>
        </w:tc>
        <w:tc>
          <w:tcPr>
            <w:tcW w:w="681" w:type="dxa"/>
            <w:vAlign w:val="center"/>
          </w:tcPr>
          <w:p w14:paraId="05E16E1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25%</w:t>
            </w:r>
          </w:p>
        </w:tc>
        <w:tc>
          <w:tcPr>
            <w:tcW w:w="648" w:type="dxa"/>
            <w:vAlign w:val="center"/>
          </w:tcPr>
          <w:p w14:paraId="344A3543"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67%</w:t>
            </w:r>
          </w:p>
        </w:tc>
        <w:tc>
          <w:tcPr>
            <w:tcW w:w="718" w:type="dxa"/>
            <w:vAlign w:val="center"/>
          </w:tcPr>
          <w:p w14:paraId="1DEA264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46%</w:t>
            </w:r>
          </w:p>
        </w:tc>
        <w:tc>
          <w:tcPr>
            <w:tcW w:w="649" w:type="dxa"/>
            <w:vAlign w:val="center"/>
          </w:tcPr>
          <w:p w14:paraId="3ACC4572"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0%</w:t>
            </w:r>
          </w:p>
        </w:tc>
        <w:tc>
          <w:tcPr>
            <w:tcW w:w="648" w:type="dxa"/>
            <w:vAlign w:val="center"/>
          </w:tcPr>
          <w:p w14:paraId="4990E85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83%</w:t>
            </w:r>
          </w:p>
        </w:tc>
        <w:tc>
          <w:tcPr>
            <w:tcW w:w="671" w:type="dxa"/>
            <w:vAlign w:val="center"/>
          </w:tcPr>
          <w:p w14:paraId="572E988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33%</w:t>
            </w:r>
          </w:p>
        </w:tc>
        <w:tc>
          <w:tcPr>
            <w:tcW w:w="729" w:type="dxa"/>
            <w:vAlign w:val="center"/>
          </w:tcPr>
          <w:p w14:paraId="319EC9C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43%</w:t>
            </w:r>
          </w:p>
        </w:tc>
        <w:tc>
          <w:tcPr>
            <w:tcW w:w="647" w:type="dxa"/>
            <w:vAlign w:val="center"/>
          </w:tcPr>
          <w:p w14:paraId="33B01430"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25%</w:t>
            </w:r>
          </w:p>
        </w:tc>
        <w:tc>
          <w:tcPr>
            <w:tcW w:w="1355" w:type="dxa"/>
            <w:vAlign w:val="center"/>
          </w:tcPr>
          <w:p w14:paraId="05034C0F"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54%</w:t>
            </w:r>
          </w:p>
        </w:tc>
      </w:tr>
      <w:tr w:rsidR="009F762E" w:rsidRPr="00242DFB" w14:paraId="781954D3" w14:textId="77777777" w:rsidTr="00BC2693">
        <w:trPr>
          <w:gridAfter w:val="1"/>
          <w:wAfter w:w="7" w:type="dxa"/>
          <w:cantSplit/>
          <w:trHeight w:val="260"/>
          <w:jc w:val="center"/>
        </w:trPr>
        <w:tc>
          <w:tcPr>
            <w:tcW w:w="2104" w:type="dxa"/>
            <w:vAlign w:val="center"/>
          </w:tcPr>
          <w:p w14:paraId="3A1A6D52"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ERC</w:t>
            </w:r>
          </w:p>
        </w:tc>
        <w:tc>
          <w:tcPr>
            <w:tcW w:w="659" w:type="dxa"/>
            <w:vAlign w:val="center"/>
          </w:tcPr>
          <w:p w14:paraId="22E0C745"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61%</w:t>
            </w:r>
          </w:p>
        </w:tc>
        <w:tc>
          <w:tcPr>
            <w:tcW w:w="763" w:type="dxa"/>
            <w:vAlign w:val="center"/>
          </w:tcPr>
          <w:p w14:paraId="24496BC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73%</w:t>
            </w:r>
          </w:p>
        </w:tc>
        <w:tc>
          <w:tcPr>
            <w:tcW w:w="681" w:type="dxa"/>
            <w:vAlign w:val="center"/>
          </w:tcPr>
          <w:p w14:paraId="2FB940C2"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66%</w:t>
            </w:r>
          </w:p>
        </w:tc>
        <w:tc>
          <w:tcPr>
            <w:tcW w:w="648" w:type="dxa"/>
            <w:vAlign w:val="center"/>
          </w:tcPr>
          <w:p w14:paraId="70F62F89"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66%</w:t>
            </w:r>
          </w:p>
        </w:tc>
        <w:tc>
          <w:tcPr>
            <w:tcW w:w="718" w:type="dxa"/>
            <w:vAlign w:val="center"/>
          </w:tcPr>
          <w:p w14:paraId="2F8A8B8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54%</w:t>
            </w:r>
          </w:p>
        </w:tc>
        <w:tc>
          <w:tcPr>
            <w:tcW w:w="649" w:type="dxa"/>
            <w:vAlign w:val="center"/>
          </w:tcPr>
          <w:p w14:paraId="7117EED8"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53%</w:t>
            </w:r>
          </w:p>
        </w:tc>
        <w:tc>
          <w:tcPr>
            <w:tcW w:w="648" w:type="dxa"/>
            <w:vAlign w:val="center"/>
          </w:tcPr>
          <w:p w14:paraId="3E32B9C6"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47%</w:t>
            </w:r>
          </w:p>
        </w:tc>
        <w:tc>
          <w:tcPr>
            <w:tcW w:w="671" w:type="dxa"/>
            <w:vAlign w:val="center"/>
          </w:tcPr>
          <w:p w14:paraId="3B0DAA96"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31%</w:t>
            </w:r>
          </w:p>
        </w:tc>
        <w:tc>
          <w:tcPr>
            <w:tcW w:w="729" w:type="dxa"/>
            <w:vAlign w:val="center"/>
          </w:tcPr>
          <w:p w14:paraId="1656052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28%</w:t>
            </w:r>
          </w:p>
        </w:tc>
        <w:tc>
          <w:tcPr>
            <w:tcW w:w="647" w:type="dxa"/>
            <w:vAlign w:val="center"/>
          </w:tcPr>
          <w:p w14:paraId="7D114A2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27%</w:t>
            </w:r>
          </w:p>
        </w:tc>
        <w:tc>
          <w:tcPr>
            <w:tcW w:w="1355" w:type="dxa"/>
            <w:vAlign w:val="center"/>
          </w:tcPr>
          <w:p w14:paraId="1B571DA7"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53%</w:t>
            </w:r>
          </w:p>
        </w:tc>
      </w:tr>
      <w:tr w:rsidR="009F762E" w:rsidRPr="00242DFB" w14:paraId="39907326" w14:textId="77777777" w:rsidTr="00BC2693">
        <w:trPr>
          <w:gridAfter w:val="1"/>
          <w:wAfter w:w="7" w:type="dxa"/>
          <w:cantSplit/>
          <w:trHeight w:val="260"/>
          <w:jc w:val="center"/>
        </w:trPr>
        <w:tc>
          <w:tcPr>
            <w:tcW w:w="2104" w:type="dxa"/>
            <w:vAlign w:val="center"/>
          </w:tcPr>
          <w:p w14:paraId="7ED81597"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VIH</w:t>
            </w:r>
          </w:p>
        </w:tc>
        <w:tc>
          <w:tcPr>
            <w:tcW w:w="659" w:type="dxa"/>
            <w:vAlign w:val="center"/>
          </w:tcPr>
          <w:p w14:paraId="42C13445"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64%</w:t>
            </w:r>
          </w:p>
        </w:tc>
        <w:tc>
          <w:tcPr>
            <w:tcW w:w="763" w:type="dxa"/>
            <w:vAlign w:val="center"/>
          </w:tcPr>
          <w:p w14:paraId="08FF22FF"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71%</w:t>
            </w:r>
          </w:p>
        </w:tc>
        <w:tc>
          <w:tcPr>
            <w:tcW w:w="681" w:type="dxa"/>
            <w:vAlign w:val="center"/>
          </w:tcPr>
          <w:p w14:paraId="3EEE41A4"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64%</w:t>
            </w:r>
          </w:p>
        </w:tc>
        <w:tc>
          <w:tcPr>
            <w:tcW w:w="648" w:type="dxa"/>
            <w:vAlign w:val="center"/>
          </w:tcPr>
          <w:p w14:paraId="55590279"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64%</w:t>
            </w:r>
          </w:p>
        </w:tc>
        <w:tc>
          <w:tcPr>
            <w:tcW w:w="718" w:type="dxa"/>
            <w:vAlign w:val="center"/>
          </w:tcPr>
          <w:p w14:paraId="52C0CA40"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53%</w:t>
            </w:r>
          </w:p>
        </w:tc>
        <w:tc>
          <w:tcPr>
            <w:tcW w:w="649" w:type="dxa"/>
            <w:vAlign w:val="center"/>
          </w:tcPr>
          <w:p w14:paraId="491BE17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44%</w:t>
            </w:r>
          </w:p>
        </w:tc>
        <w:tc>
          <w:tcPr>
            <w:tcW w:w="648" w:type="dxa"/>
            <w:vAlign w:val="center"/>
          </w:tcPr>
          <w:p w14:paraId="4DA5D232"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40%</w:t>
            </w:r>
          </w:p>
        </w:tc>
        <w:tc>
          <w:tcPr>
            <w:tcW w:w="671" w:type="dxa"/>
            <w:vAlign w:val="center"/>
          </w:tcPr>
          <w:p w14:paraId="6D7DAFF0"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38%</w:t>
            </w:r>
          </w:p>
        </w:tc>
        <w:tc>
          <w:tcPr>
            <w:tcW w:w="729" w:type="dxa"/>
            <w:vAlign w:val="center"/>
          </w:tcPr>
          <w:p w14:paraId="09D379F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27%</w:t>
            </w:r>
          </w:p>
        </w:tc>
        <w:tc>
          <w:tcPr>
            <w:tcW w:w="647" w:type="dxa"/>
            <w:vAlign w:val="center"/>
          </w:tcPr>
          <w:p w14:paraId="10FB6C53"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22%</w:t>
            </w:r>
          </w:p>
        </w:tc>
        <w:tc>
          <w:tcPr>
            <w:tcW w:w="1355" w:type="dxa"/>
            <w:vAlign w:val="center"/>
          </w:tcPr>
          <w:p w14:paraId="18777356"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52%</w:t>
            </w:r>
          </w:p>
        </w:tc>
      </w:tr>
      <w:tr w:rsidR="009F762E" w:rsidRPr="00242DFB" w14:paraId="4C0B7F18" w14:textId="77777777" w:rsidTr="00BC2693">
        <w:trPr>
          <w:gridAfter w:val="1"/>
          <w:wAfter w:w="7" w:type="dxa"/>
          <w:cantSplit/>
          <w:trHeight w:val="260"/>
          <w:jc w:val="center"/>
        </w:trPr>
        <w:tc>
          <w:tcPr>
            <w:tcW w:w="2104" w:type="dxa"/>
            <w:vAlign w:val="center"/>
          </w:tcPr>
          <w:p w14:paraId="759E4887"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Artritis</w:t>
            </w:r>
          </w:p>
        </w:tc>
        <w:tc>
          <w:tcPr>
            <w:tcW w:w="659" w:type="dxa"/>
            <w:vAlign w:val="center"/>
          </w:tcPr>
          <w:p w14:paraId="54514712"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60%</w:t>
            </w:r>
          </w:p>
        </w:tc>
        <w:tc>
          <w:tcPr>
            <w:tcW w:w="763" w:type="dxa"/>
            <w:vAlign w:val="center"/>
          </w:tcPr>
          <w:p w14:paraId="4D206A42"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72%</w:t>
            </w:r>
          </w:p>
        </w:tc>
        <w:tc>
          <w:tcPr>
            <w:tcW w:w="681" w:type="dxa"/>
            <w:vAlign w:val="center"/>
          </w:tcPr>
          <w:p w14:paraId="6F995551"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62%</w:t>
            </w:r>
          </w:p>
        </w:tc>
        <w:tc>
          <w:tcPr>
            <w:tcW w:w="648" w:type="dxa"/>
            <w:vAlign w:val="center"/>
          </w:tcPr>
          <w:p w14:paraId="686B017B"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60%</w:t>
            </w:r>
          </w:p>
        </w:tc>
        <w:tc>
          <w:tcPr>
            <w:tcW w:w="718" w:type="dxa"/>
            <w:vAlign w:val="center"/>
          </w:tcPr>
          <w:p w14:paraId="6C24ABA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52%</w:t>
            </w:r>
          </w:p>
        </w:tc>
        <w:tc>
          <w:tcPr>
            <w:tcW w:w="649" w:type="dxa"/>
            <w:vAlign w:val="center"/>
          </w:tcPr>
          <w:p w14:paraId="55DA8CBF"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49%</w:t>
            </w:r>
          </w:p>
        </w:tc>
        <w:tc>
          <w:tcPr>
            <w:tcW w:w="648" w:type="dxa"/>
            <w:vAlign w:val="center"/>
          </w:tcPr>
          <w:p w14:paraId="3C565C1F"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41%</w:t>
            </w:r>
          </w:p>
        </w:tc>
        <w:tc>
          <w:tcPr>
            <w:tcW w:w="671" w:type="dxa"/>
            <w:vAlign w:val="center"/>
          </w:tcPr>
          <w:p w14:paraId="5818D7D8"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33%</w:t>
            </w:r>
          </w:p>
        </w:tc>
        <w:tc>
          <w:tcPr>
            <w:tcW w:w="729" w:type="dxa"/>
            <w:vAlign w:val="center"/>
          </w:tcPr>
          <w:p w14:paraId="4C1D575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25%</w:t>
            </w:r>
          </w:p>
        </w:tc>
        <w:tc>
          <w:tcPr>
            <w:tcW w:w="647" w:type="dxa"/>
            <w:vAlign w:val="center"/>
          </w:tcPr>
          <w:p w14:paraId="1CAD0864"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25%</w:t>
            </w:r>
          </w:p>
        </w:tc>
        <w:tc>
          <w:tcPr>
            <w:tcW w:w="1355" w:type="dxa"/>
            <w:vAlign w:val="center"/>
          </w:tcPr>
          <w:p w14:paraId="35279EFF"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51%</w:t>
            </w:r>
          </w:p>
        </w:tc>
      </w:tr>
      <w:tr w:rsidR="009F762E" w:rsidRPr="00242DFB" w14:paraId="5D3615AF" w14:textId="77777777" w:rsidTr="00BC2693">
        <w:trPr>
          <w:gridAfter w:val="1"/>
          <w:wAfter w:w="7" w:type="dxa"/>
          <w:cantSplit/>
          <w:trHeight w:val="260"/>
          <w:jc w:val="center"/>
        </w:trPr>
        <w:tc>
          <w:tcPr>
            <w:tcW w:w="2104" w:type="dxa"/>
            <w:vAlign w:val="center"/>
          </w:tcPr>
          <w:p w14:paraId="7017891E"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Cáncer</w:t>
            </w:r>
          </w:p>
        </w:tc>
        <w:tc>
          <w:tcPr>
            <w:tcW w:w="659" w:type="dxa"/>
            <w:vAlign w:val="center"/>
          </w:tcPr>
          <w:p w14:paraId="51F43617"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58%</w:t>
            </w:r>
          </w:p>
        </w:tc>
        <w:tc>
          <w:tcPr>
            <w:tcW w:w="763" w:type="dxa"/>
            <w:vAlign w:val="center"/>
          </w:tcPr>
          <w:p w14:paraId="20CBE34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68%</w:t>
            </w:r>
          </w:p>
        </w:tc>
        <w:tc>
          <w:tcPr>
            <w:tcW w:w="681" w:type="dxa"/>
            <w:vAlign w:val="center"/>
          </w:tcPr>
          <w:p w14:paraId="48DBDDB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58%</w:t>
            </w:r>
          </w:p>
        </w:tc>
        <w:tc>
          <w:tcPr>
            <w:tcW w:w="648" w:type="dxa"/>
            <w:vAlign w:val="center"/>
          </w:tcPr>
          <w:p w14:paraId="35D64A31"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59%</w:t>
            </w:r>
          </w:p>
        </w:tc>
        <w:tc>
          <w:tcPr>
            <w:tcW w:w="718" w:type="dxa"/>
            <w:vAlign w:val="center"/>
          </w:tcPr>
          <w:p w14:paraId="78E90BEB"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48%</w:t>
            </w:r>
          </w:p>
        </w:tc>
        <w:tc>
          <w:tcPr>
            <w:tcW w:w="649" w:type="dxa"/>
            <w:vAlign w:val="center"/>
          </w:tcPr>
          <w:p w14:paraId="1F7B3993"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49%</w:t>
            </w:r>
          </w:p>
        </w:tc>
        <w:tc>
          <w:tcPr>
            <w:tcW w:w="648" w:type="dxa"/>
            <w:vAlign w:val="center"/>
          </w:tcPr>
          <w:p w14:paraId="555C71F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37%</w:t>
            </w:r>
          </w:p>
        </w:tc>
        <w:tc>
          <w:tcPr>
            <w:tcW w:w="671" w:type="dxa"/>
            <w:vAlign w:val="center"/>
          </w:tcPr>
          <w:p w14:paraId="568D58C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37%</w:t>
            </w:r>
          </w:p>
        </w:tc>
        <w:tc>
          <w:tcPr>
            <w:tcW w:w="729" w:type="dxa"/>
            <w:vAlign w:val="center"/>
          </w:tcPr>
          <w:p w14:paraId="0794167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25%</w:t>
            </w:r>
          </w:p>
        </w:tc>
        <w:tc>
          <w:tcPr>
            <w:tcW w:w="647" w:type="dxa"/>
            <w:vAlign w:val="center"/>
          </w:tcPr>
          <w:p w14:paraId="572EF8A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24%</w:t>
            </w:r>
          </w:p>
        </w:tc>
        <w:tc>
          <w:tcPr>
            <w:tcW w:w="1355" w:type="dxa"/>
            <w:vAlign w:val="center"/>
          </w:tcPr>
          <w:p w14:paraId="4006BAB9"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49%</w:t>
            </w:r>
          </w:p>
        </w:tc>
      </w:tr>
      <w:tr w:rsidR="009F762E" w:rsidRPr="00242DFB" w14:paraId="3900E4B2" w14:textId="77777777" w:rsidTr="00BC2693">
        <w:trPr>
          <w:gridAfter w:val="1"/>
          <w:wAfter w:w="7" w:type="dxa"/>
          <w:cantSplit/>
          <w:trHeight w:val="260"/>
          <w:jc w:val="center"/>
        </w:trPr>
        <w:tc>
          <w:tcPr>
            <w:tcW w:w="2104" w:type="dxa"/>
            <w:vAlign w:val="center"/>
          </w:tcPr>
          <w:p w14:paraId="7EEAC98A"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Trasplantados</w:t>
            </w:r>
          </w:p>
        </w:tc>
        <w:tc>
          <w:tcPr>
            <w:tcW w:w="659" w:type="dxa"/>
            <w:vAlign w:val="center"/>
          </w:tcPr>
          <w:p w14:paraId="1042B3B7"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61%</w:t>
            </w:r>
          </w:p>
        </w:tc>
        <w:tc>
          <w:tcPr>
            <w:tcW w:w="763" w:type="dxa"/>
            <w:vAlign w:val="center"/>
          </w:tcPr>
          <w:p w14:paraId="69F51B44"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81%</w:t>
            </w:r>
          </w:p>
        </w:tc>
        <w:tc>
          <w:tcPr>
            <w:tcW w:w="681" w:type="dxa"/>
            <w:vAlign w:val="center"/>
          </w:tcPr>
          <w:p w14:paraId="7B23EAD9"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75%</w:t>
            </w:r>
          </w:p>
        </w:tc>
        <w:tc>
          <w:tcPr>
            <w:tcW w:w="648" w:type="dxa"/>
            <w:vAlign w:val="center"/>
          </w:tcPr>
          <w:p w14:paraId="2BF57D4C"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52%</w:t>
            </w:r>
          </w:p>
        </w:tc>
        <w:tc>
          <w:tcPr>
            <w:tcW w:w="718" w:type="dxa"/>
            <w:vAlign w:val="center"/>
          </w:tcPr>
          <w:p w14:paraId="03D486D5"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20%</w:t>
            </w:r>
          </w:p>
        </w:tc>
        <w:tc>
          <w:tcPr>
            <w:tcW w:w="649" w:type="dxa"/>
            <w:vAlign w:val="center"/>
          </w:tcPr>
          <w:p w14:paraId="0B455207"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44%</w:t>
            </w:r>
          </w:p>
        </w:tc>
        <w:tc>
          <w:tcPr>
            <w:tcW w:w="648" w:type="dxa"/>
            <w:vAlign w:val="center"/>
          </w:tcPr>
          <w:p w14:paraId="7D68964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22%</w:t>
            </w:r>
          </w:p>
        </w:tc>
        <w:tc>
          <w:tcPr>
            <w:tcW w:w="671" w:type="dxa"/>
            <w:vAlign w:val="center"/>
          </w:tcPr>
          <w:p w14:paraId="305B1E48"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25%</w:t>
            </w:r>
          </w:p>
        </w:tc>
        <w:tc>
          <w:tcPr>
            <w:tcW w:w="729" w:type="dxa"/>
            <w:vAlign w:val="center"/>
          </w:tcPr>
          <w:p w14:paraId="32A57205"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43%</w:t>
            </w:r>
          </w:p>
        </w:tc>
        <w:tc>
          <w:tcPr>
            <w:tcW w:w="647" w:type="dxa"/>
            <w:vAlign w:val="center"/>
          </w:tcPr>
          <w:p w14:paraId="1013F6B2"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22%</w:t>
            </w:r>
          </w:p>
        </w:tc>
        <w:tc>
          <w:tcPr>
            <w:tcW w:w="1355" w:type="dxa"/>
            <w:vAlign w:val="center"/>
          </w:tcPr>
          <w:p w14:paraId="68EBCC13"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47%</w:t>
            </w:r>
          </w:p>
        </w:tc>
      </w:tr>
      <w:tr w:rsidR="009F762E" w:rsidRPr="00242DFB" w14:paraId="48729F5E" w14:textId="77777777" w:rsidTr="00BC2693">
        <w:trPr>
          <w:gridAfter w:val="1"/>
          <w:wAfter w:w="7" w:type="dxa"/>
          <w:cantSplit/>
          <w:trHeight w:val="290"/>
          <w:jc w:val="center"/>
        </w:trPr>
        <w:tc>
          <w:tcPr>
            <w:tcW w:w="2104" w:type="dxa"/>
            <w:vAlign w:val="center"/>
          </w:tcPr>
          <w:p w14:paraId="72525ACD" w14:textId="77777777" w:rsidR="009F762E" w:rsidRPr="00242DFB" w:rsidRDefault="00000000" w:rsidP="002A0E52">
            <w:pPr>
              <w:spacing w:line="360" w:lineRule="auto"/>
              <w:rPr>
                <w:rFonts w:ascii="Arial" w:hAnsi="Arial" w:cs="Arial"/>
                <w:color w:val="000000" w:themeColor="text1"/>
              </w:rPr>
            </w:pPr>
            <w:r w:rsidRPr="00242DFB">
              <w:rPr>
                <w:rFonts w:ascii="Arial" w:eastAsia="Arial" w:hAnsi="Arial" w:cs="Arial"/>
                <w:color w:val="000000" w:themeColor="text1"/>
                <w:kern w:val="2"/>
              </w:rPr>
              <w:t>Huérfanas</w:t>
            </w:r>
          </w:p>
        </w:tc>
        <w:tc>
          <w:tcPr>
            <w:tcW w:w="659" w:type="dxa"/>
            <w:vAlign w:val="center"/>
          </w:tcPr>
          <w:p w14:paraId="5C725804"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53%</w:t>
            </w:r>
          </w:p>
        </w:tc>
        <w:tc>
          <w:tcPr>
            <w:tcW w:w="763" w:type="dxa"/>
            <w:vAlign w:val="center"/>
          </w:tcPr>
          <w:p w14:paraId="29A780E0"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67%</w:t>
            </w:r>
          </w:p>
        </w:tc>
        <w:tc>
          <w:tcPr>
            <w:tcW w:w="681" w:type="dxa"/>
            <w:vAlign w:val="center"/>
          </w:tcPr>
          <w:p w14:paraId="1A07C8AD"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58%</w:t>
            </w:r>
          </w:p>
        </w:tc>
        <w:tc>
          <w:tcPr>
            <w:tcW w:w="648" w:type="dxa"/>
            <w:vAlign w:val="center"/>
          </w:tcPr>
          <w:p w14:paraId="37AA4A46"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59%</w:t>
            </w:r>
          </w:p>
        </w:tc>
        <w:tc>
          <w:tcPr>
            <w:tcW w:w="718" w:type="dxa"/>
            <w:vAlign w:val="center"/>
          </w:tcPr>
          <w:p w14:paraId="1AF02677"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44%</w:t>
            </w:r>
          </w:p>
        </w:tc>
        <w:tc>
          <w:tcPr>
            <w:tcW w:w="649" w:type="dxa"/>
            <w:vAlign w:val="center"/>
          </w:tcPr>
          <w:p w14:paraId="0A005E34"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37%</w:t>
            </w:r>
          </w:p>
        </w:tc>
        <w:tc>
          <w:tcPr>
            <w:tcW w:w="648" w:type="dxa"/>
            <w:vAlign w:val="center"/>
          </w:tcPr>
          <w:p w14:paraId="4B2AA27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40%</w:t>
            </w:r>
          </w:p>
        </w:tc>
        <w:tc>
          <w:tcPr>
            <w:tcW w:w="671" w:type="dxa"/>
            <w:vAlign w:val="center"/>
          </w:tcPr>
          <w:p w14:paraId="3DA89F0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31%</w:t>
            </w:r>
          </w:p>
        </w:tc>
        <w:tc>
          <w:tcPr>
            <w:tcW w:w="729" w:type="dxa"/>
            <w:vAlign w:val="center"/>
          </w:tcPr>
          <w:p w14:paraId="08EAA96A"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30%</w:t>
            </w:r>
          </w:p>
        </w:tc>
        <w:tc>
          <w:tcPr>
            <w:tcW w:w="647" w:type="dxa"/>
            <w:vAlign w:val="center"/>
          </w:tcPr>
          <w:p w14:paraId="2D720C5E"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26%</w:t>
            </w:r>
          </w:p>
        </w:tc>
        <w:tc>
          <w:tcPr>
            <w:tcW w:w="1355" w:type="dxa"/>
            <w:vAlign w:val="center"/>
          </w:tcPr>
          <w:p w14:paraId="0B514938" w14:textId="77777777" w:rsidR="009F762E" w:rsidRPr="00242DFB" w:rsidRDefault="00000000" w:rsidP="002A0E52">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47%</w:t>
            </w:r>
          </w:p>
        </w:tc>
      </w:tr>
    </w:tbl>
    <w:p w14:paraId="7058B190" w14:textId="77777777" w:rsidR="009F762E" w:rsidRPr="00242DFB" w:rsidRDefault="00000000" w:rsidP="00BC2693">
      <w:pPr>
        <w:spacing w:line="360" w:lineRule="auto"/>
        <w:jc w:val="both"/>
        <w:rPr>
          <w:rFonts w:ascii="Arial" w:hAnsi="Arial" w:cs="Arial"/>
          <w:color w:val="000000" w:themeColor="text1"/>
          <w:sz w:val="16"/>
          <w:szCs w:val="16"/>
        </w:rPr>
      </w:pPr>
      <w:r w:rsidRPr="00242DFB">
        <w:rPr>
          <w:rFonts w:ascii="Arial" w:eastAsia="Arial" w:hAnsi="Arial" w:cs="Arial"/>
          <w:color w:val="000000"/>
          <w:sz w:val="16"/>
          <w:szCs w:val="16"/>
        </w:rPr>
        <w:t>Fuente: Capital Salud EPS-S . Respuesta al requerimiento 026-EE-54444 de la Subdirección de Garantía del Aseguramiento, mediante la cual se remite información de medicamentos solicitados por cohorte (serie mensual enero–octubre 2025)</w:t>
      </w:r>
    </w:p>
    <w:p w14:paraId="542702AB" w14:textId="77777777" w:rsidR="009F762E" w:rsidRPr="00242DFB" w:rsidRDefault="009F762E" w:rsidP="002A0E52">
      <w:pPr>
        <w:spacing w:line="360" w:lineRule="auto"/>
        <w:ind w:right="1340"/>
        <w:jc w:val="both"/>
        <w:rPr>
          <w:rFonts w:ascii="Arial" w:eastAsia="Arial" w:hAnsi="Arial" w:cs="Arial"/>
          <w:color w:val="000000" w:themeColor="text1"/>
        </w:rPr>
      </w:pPr>
    </w:p>
    <w:p w14:paraId="779E4E8E"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Al realizar el análisis de los porcentajes de medicamentos pendientes que permanecen sin entrega efectiva a la fecha de corte del reporte realizado por Capital Salud EPS-S, se observa que, las cohortes de Hepatitis C (55%), Hemofilia (54%), ERC (53%), VIH (52%) y Artritis (51%) presentan los mayores porcentajes promedio de medicamentos pendientes sin entrega efectiva durante el periodo analizado. Lo anterior indica que más de la mitad de los medicamentos que generaron pendiente en estas cohortes continuaban sin ser suministrados al momento del reporte, situación que resulta especialmente relevante al tratarse de patologías que requieren tratamientos continuos, seguimiento clínico permanente y altos niveles de adherencia para alcanzar los resultados esperados en salud.</w:t>
      </w:r>
    </w:p>
    <w:p w14:paraId="0F38A822"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Aunque la cohorte de Cáncer registra un porcentaje promedio inferior (49%), este resultado debe interpretarse considerando el volumen absoluto de medicamentos involucrados. En efecto, esta cohorte concentra la mayor cantidad de solicitudes, </w:t>
      </w:r>
      <w:r w:rsidRPr="00242DFB">
        <w:rPr>
          <w:rFonts w:ascii="Arial" w:eastAsia="Arial" w:hAnsi="Arial" w:cs="Arial"/>
          <w:color w:val="000000"/>
        </w:rPr>
        <w:lastRenderedPageBreak/>
        <w:t>pendientes y medicamentos sin entrega efectiva, por lo que incluso pequeñas variaciones porcentuales representan un número considerable de pacientes potencialmente expuestos a retrasos o interrupciones en sus tratamientos. En este contexto, el riesgo asociado a la cohorte de cáncer continúa siendo prioritario debido al impacto clínico que puede generar la falta de acceso oportuno.</w:t>
      </w:r>
    </w:p>
    <w:p w14:paraId="0B96CE49" w14:textId="77777777" w:rsidR="009F762E" w:rsidRPr="00242DFB" w:rsidRDefault="009F762E" w:rsidP="002A0E52">
      <w:pPr>
        <w:spacing w:line="360" w:lineRule="auto"/>
        <w:jc w:val="both"/>
        <w:rPr>
          <w:rFonts w:ascii="Arial" w:hAnsi="Arial" w:cs="Arial"/>
          <w:color w:val="000000" w:themeColor="text1"/>
        </w:rPr>
      </w:pPr>
    </w:p>
    <w:p w14:paraId="33748742" w14:textId="145292B5"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De igual manera, el comportamiento observado durante enero y febrero muestra porcentajes particularmente elevados en la mayoría de las cohortes. En febrero, por ejemplo, varias de ellas registran niveles superiores al 65%, alcanzando valores de 78% en Hepatitis C, 81% en Trasplantados, 100% en Hemofilia, 73% en ERC y 72% en Artritis. Este comportamiento puede sugerir que situación que podría estar asociada a dificultades de abastecimiento, limitaciones logísticas, </w:t>
      </w:r>
      <w:r w:rsidR="00305A2F" w:rsidRPr="00242DFB">
        <w:rPr>
          <w:rFonts w:ascii="Arial" w:eastAsia="Arial" w:hAnsi="Arial" w:cs="Arial"/>
          <w:color w:val="000000"/>
        </w:rPr>
        <w:t>problemas</w:t>
      </w:r>
      <w:r w:rsidRPr="00242DFB">
        <w:rPr>
          <w:rFonts w:ascii="Arial" w:eastAsia="Arial" w:hAnsi="Arial" w:cs="Arial"/>
          <w:color w:val="000000"/>
        </w:rPr>
        <w:t xml:space="preserve"> de disponibilidad de tecnologías en salud o debilidades en los mecanismos de seguimiento y cierre de pendientes.</w:t>
      </w:r>
    </w:p>
    <w:p w14:paraId="1875C66C" w14:textId="77777777" w:rsidR="009F762E" w:rsidRPr="00242DFB" w:rsidRDefault="009F762E" w:rsidP="002A0E52">
      <w:pPr>
        <w:spacing w:line="360" w:lineRule="auto"/>
        <w:jc w:val="both"/>
        <w:rPr>
          <w:rFonts w:ascii="Arial" w:hAnsi="Arial" w:cs="Arial"/>
          <w:color w:val="000000" w:themeColor="text1"/>
        </w:rPr>
      </w:pPr>
    </w:p>
    <w:p w14:paraId="7949CFBC"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Si bien a partir del segundo semestre se observa una reducción progresiva de los porcentajes en la mayoría de las cohortes, especialmente en octubre, el análisis requiere una validación más profunda que permita establecer si esta disminución corresponde efectivamente a una mejora sostenida en la capacidad de respuesta del operador farmacéutico y de la EPS, o si obedece a ajustes metodológicos, depuración de registros o cambios en los criterios de consolidación de la información reportada.</w:t>
      </w:r>
    </w:p>
    <w:p w14:paraId="1FB34979" w14:textId="77777777" w:rsidR="009F762E" w:rsidRPr="00242DFB" w:rsidRDefault="009F762E" w:rsidP="002A0E52">
      <w:pPr>
        <w:spacing w:line="360" w:lineRule="auto"/>
        <w:jc w:val="both"/>
        <w:rPr>
          <w:rFonts w:ascii="Arial" w:eastAsia="Arial" w:hAnsi="Arial" w:cs="Arial"/>
          <w:color w:val="000000" w:themeColor="text1"/>
        </w:rPr>
      </w:pPr>
    </w:p>
    <w:p w14:paraId="3C166945"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Desde la perspectiva de gestión del riesgo en salud, el hallazgo más relevante consiste en que una proporción significativa de los medicamentos pendientes continuaba sin entrega efectiva al momento del reporte, particularmente en cohortes caracterizadas por condiciones crónicas, de alto costo y alta complejidad clínica. Esta situación incrementa la probabilidad de interrupciones terapéuticas, pérdida de adherencia al tratamiento, progresión de la enfermedad, descompensaciones clínicas y utilización de servicios de mayor complejidad, con potencial afectación sobre los resultados en salud y la calidad de vida de los afiliados.</w:t>
      </w:r>
    </w:p>
    <w:p w14:paraId="42D14C64"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lastRenderedPageBreak/>
        <w:t xml:space="preserve"> </w:t>
      </w:r>
    </w:p>
    <w:p w14:paraId="726C6760" w14:textId="6EC9FDA7" w:rsidR="009F762E" w:rsidRPr="00242DFB" w:rsidRDefault="00305A2F" w:rsidP="00305A2F">
      <w:pPr>
        <w:pStyle w:val="Ttulo2"/>
        <w:numPr>
          <w:ilvl w:val="1"/>
          <w:numId w:val="7"/>
        </w:numPr>
        <w:spacing w:before="0" w:line="360" w:lineRule="auto"/>
        <w:jc w:val="both"/>
        <w:rPr>
          <w:rFonts w:ascii="Arial" w:hAnsi="Arial" w:cs="Arial"/>
          <w:b/>
          <w:bCs/>
          <w:color w:val="000000"/>
          <w:sz w:val="24"/>
          <w:szCs w:val="24"/>
        </w:rPr>
      </w:pPr>
      <w:r w:rsidRPr="00242DFB">
        <w:rPr>
          <w:rFonts w:ascii="Arial" w:hAnsi="Arial" w:cs="Arial"/>
          <w:b/>
          <w:bCs/>
          <w:color w:val="000000"/>
          <w:sz w:val="24"/>
          <w:szCs w:val="24"/>
        </w:rPr>
        <w:t xml:space="preserve"> Dispensación de medicamentos en cohortes priorizadas de alto riesgo: continuidad terapéutica y riesgo clínico</w:t>
      </w:r>
    </w:p>
    <w:p w14:paraId="7CECA833" w14:textId="77777777" w:rsidR="00305A2F" w:rsidRPr="00242DFB" w:rsidRDefault="00305A2F" w:rsidP="002A0E52">
      <w:pPr>
        <w:spacing w:line="360" w:lineRule="auto"/>
        <w:jc w:val="center"/>
        <w:rPr>
          <w:rFonts w:ascii="Arial" w:hAnsi="Arial" w:cs="Arial"/>
          <w:color w:val="000000"/>
        </w:rPr>
      </w:pPr>
    </w:p>
    <w:p w14:paraId="3E0C0F81" w14:textId="50663D94" w:rsidR="002D7FF0" w:rsidRPr="00242DFB" w:rsidRDefault="002D7FF0" w:rsidP="002D7FF0">
      <w:pPr>
        <w:spacing w:line="360" w:lineRule="auto"/>
        <w:jc w:val="both"/>
        <w:rPr>
          <w:rFonts w:ascii="Arial" w:eastAsia="Arial" w:hAnsi="Arial" w:cs="Arial"/>
          <w:color w:val="000000"/>
        </w:rPr>
      </w:pPr>
      <w:r w:rsidRPr="00242DFB">
        <w:rPr>
          <w:rFonts w:ascii="Arial" w:eastAsia="Arial" w:hAnsi="Arial" w:cs="Arial"/>
          <w:color w:val="000000"/>
        </w:rPr>
        <w:t xml:space="preserve">A </w:t>
      </w:r>
      <w:r w:rsidRPr="00242DFB">
        <w:rPr>
          <w:rFonts w:ascii="Arial" w:eastAsia="Arial" w:hAnsi="Arial" w:cs="Arial"/>
          <w:color w:val="000000"/>
        </w:rPr>
        <w:t>continuación,</w:t>
      </w:r>
      <w:r w:rsidRPr="00242DFB">
        <w:rPr>
          <w:rFonts w:ascii="Arial" w:eastAsia="Arial" w:hAnsi="Arial" w:cs="Arial"/>
          <w:color w:val="000000"/>
        </w:rPr>
        <w:t xml:space="preserve"> en la siguiente tabla, evidencia que aproximadamente uno de cada dos requerimientos farmacológicos que presentó dificultades en la dispensación no había sido resuelto oportunamente al momento del reporte, reflejando persistencia significativa del incumplimiento en la entrega efectiva de medicamentos.</w:t>
      </w:r>
    </w:p>
    <w:p w14:paraId="43C6BFEA" w14:textId="113C6562" w:rsidR="009F762E" w:rsidRPr="00242DFB" w:rsidRDefault="009F762E" w:rsidP="002A0E52">
      <w:pPr>
        <w:spacing w:line="360" w:lineRule="auto"/>
        <w:jc w:val="center"/>
        <w:rPr>
          <w:rFonts w:ascii="Arial" w:hAnsi="Arial" w:cs="Arial"/>
          <w:color w:val="000000" w:themeColor="text1"/>
        </w:rPr>
      </w:pPr>
    </w:p>
    <w:p w14:paraId="5FC2598F" w14:textId="136CFD0D" w:rsidR="00305A2F" w:rsidRPr="00242DFB" w:rsidRDefault="00305A2F" w:rsidP="00305A2F">
      <w:pPr>
        <w:pStyle w:val="Descripcin"/>
        <w:keepNext/>
        <w:jc w:val="center"/>
        <w:rPr>
          <w:rFonts w:ascii="Arial" w:hAnsi="Arial" w:cs="Arial"/>
          <w:color w:val="000000" w:themeColor="text1"/>
          <w:sz w:val="24"/>
          <w:szCs w:val="24"/>
        </w:rPr>
      </w:pPr>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23</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Resumen de medicamentos pendientes sin entrega en cohortes priorizadas, Capital Salud EPS-S</w:t>
      </w:r>
    </w:p>
    <w:tbl>
      <w:tblPr>
        <w:tblW w:w="9670" w:type="dxa"/>
        <w:jc w:val="center"/>
        <w:tblLayout w:type="fixed"/>
        <w:tblCellMar>
          <w:left w:w="70" w:type="dxa"/>
          <w:right w:w="70" w:type="dxa"/>
        </w:tblCellMar>
        <w:tblLook w:val="06A0" w:firstRow="1" w:lastRow="0" w:firstColumn="1" w:lastColumn="0" w:noHBand="1" w:noVBand="1"/>
      </w:tblPr>
      <w:tblGrid>
        <w:gridCol w:w="2658"/>
        <w:gridCol w:w="2496"/>
        <w:gridCol w:w="2578"/>
        <w:gridCol w:w="1938"/>
      </w:tblGrid>
      <w:tr w:rsidR="009F762E" w:rsidRPr="00242DFB" w14:paraId="0E06B0FD" w14:textId="77777777" w:rsidTr="002D7FF0">
        <w:trPr>
          <w:cantSplit/>
          <w:trHeight w:val="357"/>
          <w:jc w:val="center"/>
        </w:trPr>
        <w:tc>
          <w:tcPr>
            <w:tcW w:w="9670" w:type="dxa"/>
            <w:gridSpan w:val="4"/>
            <w:tcBorders>
              <w:top w:val="single" w:sz="8" w:space="0" w:color="000000"/>
              <w:left w:val="single" w:sz="8" w:space="0" w:color="000000"/>
              <w:bottom w:val="single" w:sz="8" w:space="0" w:color="000000"/>
              <w:right w:val="single" w:sz="8" w:space="0" w:color="000000"/>
            </w:tcBorders>
            <w:vAlign w:val="center"/>
          </w:tcPr>
          <w:p w14:paraId="3ABD5F88"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Dispensación total cohortes objeto - Capital Salud EPS-S</w:t>
            </w:r>
          </w:p>
        </w:tc>
      </w:tr>
      <w:tr w:rsidR="009F762E" w:rsidRPr="00242DFB" w14:paraId="0C6E16E4" w14:textId="77777777" w:rsidTr="002D7FF0">
        <w:trPr>
          <w:cantSplit/>
          <w:trHeight w:val="301"/>
          <w:jc w:val="center"/>
        </w:trPr>
        <w:tc>
          <w:tcPr>
            <w:tcW w:w="2658" w:type="dxa"/>
            <w:tcBorders>
              <w:top w:val="single" w:sz="8" w:space="0" w:color="000000"/>
              <w:left w:val="single" w:sz="8" w:space="0" w:color="000000"/>
              <w:bottom w:val="single" w:sz="8" w:space="0" w:color="000000"/>
              <w:right w:val="single" w:sz="8" w:space="0" w:color="000000"/>
            </w:tcBorders>
            <w:vAlign w:val="center"/>
          </w:tcPr>
          <w:p w14:paraId="31C07F73" w14:textId="433BD787" w:rsidR="009F762E" w:rsidRPr="00242DFB" w:rsidRDefault="002D7FF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rPr>
              <w:t>Total,</w:t>
            </w:r>
            <w:r w:rsidR="00000000" w:rsidRPr="00242DFB">
              <w:rPr>
                <w:rFonts w:ascii="Arial" w:eastAsia="Arial" w:hAnsi="Arial" w:cs="Arial"/>
                <w:b/>
                <w:bCs/>
                <w:color w:val="000000" w:themeColor="text1"/>
              </w:rPr>
              <w:t xml:space="preserve"> de medicamentos solicitados</w:t>
            </w:r>
          </w:p>
        </w:tc>
        <w:tc>
          <w:tcPr>
            <w:tcW w:w="2496" w:type="dxa"/>
            <w:tcBorders>
              <w:left w:val="single" w:sz="8" w:space="0" w:color="000000"/>
              <w:bottom w:val="single" w:sz="8" w:space="0" w:color="000000"/>
              <w:right w:val="single" w:sz="8" w:space="0" w:color="000000"/>
            </w:tcBorders>
            <w:vAlign w:val="center"/>
          </w:tcPr>
          <w:p w14:paraId="40E638B1" w14:textId="766D2B89" w:rsidR="009F762E" w:rsidRPr="00242DFB" w:rsidRDefault="002D7FF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rPr>
              <w:t>Total,</w:t>
            </w:r>
            <w:r w:rsidR="00000000" w:rsidRPr="00242DFB">
              <w:rPr>
                <w:rFonts w:ascii="Arial" w:eastAsia="Arial" w:hAnsi="Arial" w:cs="Arial"/>
                <w:b/>
                <w:bCs/>
                <w:color w:val="000000" w:themeColor="text1"/>
              </w:rPr>
              <w:t xml:space="preserve"> de medicamentos pendientes</w:t>
            </w:r>
          </w:p>
        </w:tc>
        <w:tc>
          <w:tcPr>
            <w:tcW w:w="2578" w:type="dxa"/>
            <w:tcBorders>
              <w:left w:val="single" w:sz="8" w:space="0" w:color="000000"/>
              <w:bottom w:val="single" w:sz="8" w:space="0" w:color="000000"/>
              <w:right w:val="single" w:sz="8" w:space="0" w:color="000000"/>
            </w:tcBorders>
            <w:vAlign w:val="center"/>
          </w:tcPr>
          <w:p w14:paraId="5B19B6F1" w14:textId="2BAF7B29" w:rsidR="009F762E" w:rsidRPr="00242DFB" w:rsidRDefault="002D7FF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rPr>
              <w:t>Total,</w:t>
            </w:r>
            <w:r w:rsidR="00000000" w:rsidRPr="00242DFB">
              <w:rPr>
                <w:rFonts w:ascii="Arial" w:eastAsia="Arial" w:hAnsi="Arial" w:cs="Arial"/>
                <w:b/>
                <w:bCs/>
                <w:color w:val="000000" w:themeColor="text1"/>
              </w:rPr>
              <w:t xml:space="preserve"> de medicamentos pendientes sin entrega</w:t>
            </w:r>
          </w:p>
        </w:tc>
        <w:tc>
          <w:tcPr>
            <w:tcW w:w="1936" w:type="dxa"/>
            <w:tcBorders>
              <w:left w:val="single" w:sz="8" w:space="0" w:color="000000"/>
              <w:bottom w:val="single" w:sz="8" w:space="0" w:color="000000"/>
              <w:right w:val="single" w:sz="8" w:space="0" w:color="000000"/>
            </w:tcBorders>
            <w:vAlign w:val="center"/>
          </w:tcPr>
          <w:p w14:paraId="048C10D3"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b/>
                <w:bCs/>
                <w:color w:val="000000" w:themeColor="text1"/>
              </w:rPr>
              <w:t>Porcentaje de no entrega</w:t>
            </w:r>
          </w:p>
        </w:tc>
      </w:tr>
      <w:tr w:rsidR="009F762E" w:rsidRPr="00242DFB" w14:paraId="562AFF7B" w14:textId="77777777" w:rsidTr="002D7FF0">
        <w:trPr>
          <w:cantSplit/>
          <w:trHeight w:val="373"/>
          <w:jc w:val="center"/>
        </w:trPr>
        <w:tc>
          <w:tcPr>
            <w:tcW w:w="2658" w:type="dxa"/>
            <w:tcBorders>
              <w:top w:val="single" w:sz="8" w:space="0" w:color="000000"/>
              <w:left w:val="single" w:sz="8" w:space="0" w:color="000000"/>
              <w:bottom w:val="single" w:sz="8" w:space="0" w:color="000000"/>
              <w:right w:val="single" w:sz="8" w:space="0" w:color="000000"/>
            </w:tcBorders>
            <w:vAlign w:val="center"/>
          </w:tcPr>
          <w:p w14:paraId="7670F10E"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367.653</w:t>
            </w:r>
          </w:p>
        </w:tc>
        <w:tc>
          <w:tcPr>
            <w:tcW w:w="2496" w:type="dxa"/>
            <w:tcBorders>
              <w:top w:val="single" w:sz="8" w:space="0" w:color="000000"/>
              <w:left w:val="single" w:sz="8" w:space="0" w:color="000000"/>
              <w:bottom w:val="single" w:sz="8" w:space="0" w:color="000000"/>
              <w:right w:val="single" w:sz="8" w:space="0" w:color="000000"/>
            </w:tcBorders>
            <w:vAlign w:val="center"/>
          </w:tcPr>
          <w:p w14:paraId="65DCAA2F"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71.879</w:t>
            </w:r>
          </w:p>
        </w:tc>
        <w:tc>
          <w:tcPr>
            <w:tcW w:w="2578" w:type="dxa"/>
            <w:tcBorders>
              <w:top w:val="single" w:sz="8" w:space="0" w:color="000000"/>
              <w:left w:val="single" w:sz="8" w:space="0" w:color="000000"/>
              <w:bottom w:val="single" w:sz="8" w:space="0" w:color="000000"/>
              <w:right w:val="single" w:sz="8" w:space="0" w:color="000000"/>
            </w:tcBorders>
            <w:vAlign w:val="center"/>
          </w:tcPr>
          <w:p w14:paraId="5D79AFE7"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35.763</w:t>
            </w:r>
          </w:p>
        </w:tc>
        <w:tc>
          <w:tcPr>
            <w:tcW w:w="1936" w:type="dxa"/>
            <w:tcBorders>
              <w:top w:val="single" w:sz="8" w:space="0" w:color="000000"/>
              <w:left w:val="single" w:sz="8" w:space="0" w:color="000000"/>
              <w:bottom w:val="single" w:sz="8" w:space="0" w:color="000000"/>
              <w:right w:val="single" w:sz="8" w:space="0" w:color="000000"/>
            </w:tcBorders>
            <w:vAlign w:val="center"/>
          </w:tcPr>
          <w:p w14:paraId="205E212A" w14:textId="77777777" w:rsidR="009F762E" w:rsidRPr="00242DFB" w:rsidRDefault="00000000" w:rsidP="002A0E52">
            <w:pPr>
              <w:spacing w:line="360" w:lineRule="auto"/>
              <w:jc w:val="center"/>
              <w:rPr>
                <w:rFonts w:ascii="Arial" w:hAnsi="Arial" w:cs="Arial"/>
                <w:color w:val="000000" w:themeColor="text1"/>
              </w:rPr>
            </w:pPr>
            <w:r w:rsidRPr="00242DFB">
              <w:rPr>
                <w:rFonts w:ascii="Arial" w:eastAsia="Arial" w:hAnsi="Arial" w:cs="Arial"/>
                <w:color w:val="000000" w:themeColor="text1"/>
              </w:rPr>
              <w:t>49,75%</w:t>
            </w:r>
          </w:p>
        </w:tc>
      </w:tr>
    </w:tbl>
    <w:p w14:paraId="4A97E681" w14:textId="77777777" w:rsidR="009F762E" w:rsidRPr="00242DFB" w:rsidRDefault="00000000" w:rsidP="00305A2F">
      <w:pPr>
        <w:spacing w:line="360" w:lineRule="auto"/>
        <w:jc w:val="both"/>
        <w:rPr>
          <w:rFonts w:ascii="Arial" w:hAnsi="Arial" w:cs="Arial"/>
          <w:color w:val="000000" w:themeColor="text1"/>
          <w:sz w:val="16"/>
          <w:szCs w:val="16"/>
        </w:rPr>
      </w:pPr>
      <w:r w:rsidRPr="00242DFB">
        <w:rPr>
          <w:rFonts w:ascii="Arial" w:hAnsi="Arial" w:cs="Arial"/>
          <w:color w:val="000000"/>
          <w:sz w:val="16"/>
          <w:szCs w:val="16"/>
        </w:rPr>
        <w:t>Fuente: Capital Salud EPS-S Respuesta al requerimiento No. 026-EE-54444 de la Subdirección de Garantía del Aseguramiento, mediante la cual se remite información de medicamentos solicitados por cohorte (serie mensual enero–octubre 2025).</w:t>
      </w:r>
    </w:p>
    <w:p w14:paraId="4072AE04"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059E87A3"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Desde la perspectiva de garantía del acceso, continuidad de los tratamientos y gestión del riesgo en salud, estos resultados constituyen un indicio de incumplimiento en la oportunidad y efectividad del proceso de dispensación farmacéutica, particularmente al considerar que las cohortes analizadas corresponden a poblaciones con enfermedades crónicas, de alto costo y alta complejidad clínica. La permanencia de un volumen importante de medicamentos sin entrega efectiva incrementa el riesgo de interrupción terapéutica, disminución de la adherencia a los tratamientos, progresión de la enfermedad y utilización de servicios de mayor complejidad. En consecuencia, la información analizada evidencia la necesidad de que la EPS y su operador farmacéutico implementen acciones correctivas orientadas a fortalecer los procesos de abastecimiento, </w:t>
      </w:r>
      <w:r w:rsidRPr="00242DFB">
        <w:rPr>
          <w:rFonts w:ascii="Arial" w:eastAsia="Arial" w:hAnsi="Arial" w:cs="Arial"/>
          <w:color w:val="000000"/>
        </w:rPr>
        <w:lastRenderedPageBreak/>
        <w:t>seguimiento y cierre efectivo de pendientes, garantizando una respuesta oportuna a las necesidades farmacológicas de la población afiliada.</w:t>
      </w:r>
    </w:p>
    <w:p w14:paraId="2DC62360"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2547E554" w14:textId="77777777" w:rsidR="009F762E" w:rsidRPr="00242DFB" w:rsidRDefault="00000000" w:rsidP="002D7FF0">
      <w:pPr>
        <w:pStyle w:val="Ttulo2"/>
        <w:numPr>
          <w:ilvl w:val="1"/>
          <w:numId w:val="7"/>
        </w:numPr>
        <w:spacing w:before="0" w:line="360" w:lineRule="auto"/>
        <w:jc w:val="both"/>
        <w:rPr>
          <w:rFonts w:ascii="Arial" w:hAnsi="Arial" w:cs="Arial"/>
          <w:b/>
          <w:bCs/>
          <w:color w:val="000000"/>
          <w:sz w:val="24"/>
          <w:szCs w:val="24"/>
        </w:rPr>
      </w:pPr>
      <w:r w:rsidRPr="00242DFB">
        <w:rPr>
          <w:rFonts w:ascii="Arial" w:hAnsi="Arial" w:cs="Arial"/>
          <w:b/>
          <w:bCs/>
          <w:color w:val="000000"/>
          <w:sz w:val="24"/>
          <w:szCs w:val="24"/>
        </w:rPr>
        <w:t>Indicadores dispensación de medicamentos</w:t>
      </w:r>
    </w:p>
    <w:p w14:paraId="52359DFB"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b/>
          <w:bCs/>
          <w:color w:val="000000"/>
        </w:rPr>
        <w:t xml:space="preserve"> </w:t>
      </w:r>
    </w:p>
    <w:p w14:paraId="6DFA978C" w14:textId="77777777" w:rsidR="009F762E" w:rsidRPr="00242DFB" w:rsidRDefault="00000000" w:rsidP="002A0E52">
      <w:pPr>
        <w:spacing w:line="360" w:lineRule="auto"/>
        <w:jc w:val="both"/>
        <w:rPr>
          <w:rFonts w:ascii="Arial" w:hAnsi="Arial" w:cs="Arial"/>
          <w:color w:val="000000" w:themeColor="text1"/>
        </w:rPr>
      </w:pPr>
      <w:r w:rsidRPr="00242DFB">
        <w:rPr>
          <w:rFonts w:ascii="Arial" w:hAnsi="Arial" w:cs="Arial"/>
          <w:color w:val="000000"/>
        </w:rPr>
        <w:t>A continuación, se presenta el comportamiento mensual de los indicadores de dispensación de medicamentos reportados por Capital Salud EPS-S para la ciudad de Bogotá durante la vigencia 2025. Los indicadores analizados corresponden al tiempo de espera para la entrega de medicamentos incluidos en el Plan de Beneficios en Salud (PBS), el porcentaje de fórmulas médicas entregadas de manera completa y el porcentaje de fórmulas médicas entregadas oportunamente. Estos indicadores constituyen herramientas fundamentales para evaluar el desempeño de la gestión farmacéutica, en la medida en que permiten valorar la capacidad de respuesta de la red de dispensación frente a las necesidades de la población afiliada y su incidencia sobre el acceso efectivo a los tratamientos prescritos.</w:t>
      </w:r>
    </w:p>
    <w:p w14:paraId="4194CF3E"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6DBE5687" w14:textId="201F9921" w:rsidR="002D7FF0" w:rsidRPr="00242DFB" w:rsidRDefault="002D7FF0" w:rsidP="002D7FF0">
      <w:pPr>
        <w:pStyle w:val="Descripcin"/>
        <w:keepNext/>
        <w:jc w:val="center"/>
        <w:rPr>
          <w:rFonts w:ascii="Arial" w:hAnsi="Arial" w:cs="Arial"/>
        </w:rPr>
      </w:pPr>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24</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Comportamiento de indicadores de dispensación de medicamentos, Bogotá, 2025</w:t>
      </w:r>
    </w:p>
    <w:tbl>
      <w:tblPr>
        <w:tblW w:w="10667" w:type="dxa"/>
        <w:tblInd w:w="-861" w:type="dxa"/>
        <w:tblLayout w:type="fixed"/>
        <w:tblCellMar>
          <w:left w:w="70" w:type="dxa"/>
          <w:right w:w="70" w:type="dxa"/>
        </w:tblCellMar>
        <w:tblLook w:val="06A0" w:firstRow="1" w:lastRow="0" w:firstColumn="1" w:lastColumn="0" w:noHBand="1" w:noVBand="1"/>
      </w:tblPr>
      <w:tblGrid>
        <w:gridCol w:w="709"/>
        <w:gridCol w:w="1759"/>
        <w:gridCol w:w="683"/>
        <w:gridCol w:w="682"/>
        <w:gridCol w:w="683"/>
        <w:gridCol w:w="682"/>
        <w:gridCol w:w="683"/>
        <w:gridCol w:w="682"/>
        <w:gridCol w:w="682"/>
        <w:gridCol w:w="682"/>
        <w:gridCol w:w="684"/>
        <w:gridCol w:w="682"/>
        <w:gridCol w:w="682"/>
        <w:gridCol w:w="682"/>
        <w:gridCol w:w="10"/>
      </w:tblGrid>
      <w:tr w:rsidR="009F762E" w:rsidRPr="00242DFB" w14:paraId="68616775" w14:textId="77777777" w:rsidTr="002D7FF0">
        <w:trPr>
          <w:cantSplit/>
          <w:trHeight w:val="60"/>
        </w:trPr>
        <w:tc>
          <w:tcPr>
            <w:tcW w:w="10667" w:type="dxa"/>
            <w:gridSpan w:val="15"/>
            <w:tcBorders>
              <w:top w:val="single" w:sz="8" w:space="0" w:color="000000"/>
              <w:left w:val="single" w:sz="8" w:space="0" w:color="000000"/>
              <w:bottom w:val="single" w:sz="8" w:space="0" w:color="000000"/>
              <w:right w:val="single" w:sz="8" w:space="0" w:color="000000"/>
            </w:tcBorders>
            <w:vAlign w:val="center"/>
          </w:tcPr>
          <w:p w14:paraId="08A2CB64" w14:textId="77777777" w:rsidR="009F762E" w:rsidRPr="00242DFB" w:rsidRDefault="00000000" w:rsidP="002A0E52">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COMPORTAMIENTO INDICADORES DE DISPENSACION DE MEDICAMENTOS</w:t>
            </w:r>
          </w:p>
        </w:tc>
      </w:tr>
      <w:tr w:rsidR="009F762E" w:rsidRPr="00242DFB" w14:paraId="3738A1D4" w14:textId="77777777" w:rsidTr="002D7FF0">
        <w:trPr>
          <w:cantSplit/>
          <w:trHeight w:val="126"/>
        </w:trPr>
        <w:tc>
          <w:tcPr>
            <w:tcW w:w="2468" w:type="dxa"/>
            <w:gridSpan w:val="2"/>
            <w:tcBorders>
              <w:top w:val="single" w:sz="8" w:space="0" w:color="000000"/>
              <w:left w:val="single" w:sz="8" w:space="0" w:color="000000"/>
              <w:bottom w:val="single" w:sz="8" w:space="0" w:color="000000"/>
              <w:right w:val="single" w:sz="8" w:space="0" w:color="000000"/>
            </w:tcBorders>
            <w:vAlign w:val="center"/>
          </w:tcPr>
          <w:p w14:paraId="7BCAF32E" w14:textId="77777777" w:rsidR="009F762E" w:rsidRPr="00242DFB" w:rsidRDefault="00000000" w:rsidP="002A0E52">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INDICADORES</w:t>
            </w:r>
          </w:p>
        </w:tc>
        <w:tc>
          <w:tcPr>
            <w:tcW w:w="8199" w:type="dxa"/>
            <w:gridSpan w:val="13"/>
            <w:tcBorders>
              <w:bottom w:val="single" w:sz="8" w:space="0" w:color="000000"/>
              <w:right w:val="single" w:sz="8" w:space="0" w:color="000000"/>
            </w:tcBorders>
            <w:vAlign w:val="center"/>
          </w:tcPr>
          <w:p w14:paraId="33E01955" w14:textId="77777777" w:rsidR="009F762E" w:rsidRPr="00242DFB" w:rsidRDefault="00000000" w:rsidP="002A0E52">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PERIODO OBJETO DE REPORTE</w:t>
            </w:r>
          </w:p>
        </w:tc>
      </w:tr>
      <w:tr w:rsidR="009F762E" w:rsidRPr="00242DFB" w14:paraId="0CF43244" w14:textId="77777777" w:rsidTr="002D7FF0">
        <w:trPr>
          <w:gridAfter w:val="1"/>
          <w:wAfter w:w="10" w:type="dxa"/>
          <w:cantSplit/>
          <w:trHeight w:val="410"/>
        </w:trPr>
        <w:tc>
          <w:tcPr>
            <w:tcW w:w="709" w:type="dxa"/>
            <w:tcBorders>
              <w:top w:val="single" w:sz="8" w:space="0" w:color="000000"/>
              <w:left w:val="single" w:sz="8" w:space="0" w:color="000000"/>
              <w:bottom w:val="single" w:sz="8" w:space="0" w:color="000000"/>
              <w:right w:val="single" w:sz="8" w:space="0" w:color="000000"/>
            </w:tcBorders>
            <w:vAlign w:val="center"/>
          </w:tcPr>
          <w:p w14:paraId="12A51497" w14:textId="77777777" w:rsidR="009F762E" w:rsidRPr="00242DFB" w:rsidRDefault="00000000" w:rsidP="002A0E52">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COD.</w:t>
            </w:r>
          </w:p>
        </w:tc>
        <w:tc>
          <w:tcPr>
            <w:tcW w:w="1759" w:type="dxa"/>
            <w:tcBorders>
              <w:left w:val="single" w:sz="8" w:space="0" w:color="000000"/>
              <w:bottom w:val="single" w:sz="8" w:space="0" w:color="000000"/>
              <w:right w:val="single" w:sz="8" w:space="0" w:color="000000"/>
            </w:tcBorders>
            <w:vAlign w:val="center"/>
          </w:tcPr>
          <w:p w14:paraId="62139EC6" w14:textId="77777777" w:rsidR="009F762E" w:rsidRPr="00242DFB" w:rsidRDefault="00000000" w:rsidP="002A0E52">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DESCRIPCION DEL INDICADOR</w:t>
            </w:r>
          </w:p>
        </w:tc>
        <w:tc>
          <w:tcPr>
            <w:tcW w:w="683" w:type="dxa"/>
            <w:tcBorders>
              <w:top w:val="single" w:sz="8" w:space="0" w:color="000000"/>
              <w:left w:val="single" w:sz="8" w:space="0" w:color="000000"/>
              <w:bottom w:val="single" w:sz="8" w:space="0" w:color="000000"/>
              <w:right w:val="single" w:sz="8" w:space="0" w:color="000000"/>
            </w:tcBorders>
            <w:vAlign w:val="center"/>
          </w:tcPr>
          <w:p w14:paraId="25BEFB6E" w14:textId="77777777" w:rsidR="009F762E" w:rsidRPr="00242DFB" w:rsidRDefault="00000000" w:rsidP="002A0E52">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ene-25</w:t>
            </w:r>
          </w:p>
        </w:tc>
        <w:tc>
          <w:tcPr>
            <w:tcW w:w="682" w:type="dxa"/>
            <w:tcBorders>
              <w:left w:val="single" w:sz="8" w:space="0" w:color="000000"/>
              <w:bottom w:val="single" w:sz="8" w:space="0" w:color="000000"/>
              <w:right w:val="single" w:sz="8" w:space="0" w:color="000000"/>
            </w:tcBorders>
            <w:vAlign w:val="center"/>
          </w:tcPr>
          <w:p w14:paraId="2AC07B36" w14:textId="77777777" w:rsidR="009F762E" w:rsidRPr="00242DFB" w:rsidRDefault="00000000" w:rsidP="002A0E52">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feb-25</w:t>
            </w:r>
          </w:p>
        </w:tc>
        <w:tc>
          <w:tcPr>
            <w:tcW w:w="683" w:type="dxa"/>
            <w:tcBorders>
              <w:left w:val="single" w:sz="8" w:space="0" w:color="000000"/>
              <w:bottom w:val="single" w:sz="8" w:space="0" w:color="000000"/>
              <w:right w:val="single" w:sz="8" w:space="0" w:color="000000"/>
            </w:tcBorders>
            <w:vAlign w:val="center"/>
          </w:tcPr>
          <w:p w14:paraId="35438EB3" w14:textId="77777777" w:rsidR="009F762E" w:rsidRPr="00242DFB" w:rsidRDefault="00000000" w:rsidP="002A0E52">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mar-25</w:t>
            </w:r>
          </w:p>
        </w:tc>
        <w:tc>
          <w:tcPr>
            <w:tcW w:w="682" w:type="dxa"/>
            <w:tcBorders>
              <w:left w:val="single" w:sz="8" w:space="0" w:color="000000"/>
              <w:bottom w:val="single" w:sz="8" w:space="0" w:color="000000"/>
              <w:right w:val="single" w:sz="8" w:space="0" w:color="000000"/>
            </w:tcBorders>
            <w:vAlign w:val="center"/>
          </w:tcPr>
          <w:p w14:paraId="7BC638D3" w14:textId="77777777" w:rsidR="009F762E" w:rsidRPr="00242DFB" w:rsidRDefault="00000000" w:rsidP="002A0E52">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abr-25</w:t>
            </w:r>
          </w:p>
        </w:tc>
        <w:tc>
          <w:tcPr>
            <w:tcW w:w="683" w:type="dxa"/>
            <w:tcBorders>
              <w:left w:val="single" w:sz="8" w:space="0" w:color="000000"/>
              <w:bottom w:val="single" w:sz="8" w:space="0" w:color="000000"/>
              <w:right w:val="single" w:sz="8" w:space="0" w:color="000000"/>
            </w:tcBorders>
            <w:vAlign w:val="center"/>
          </w:tcPr>
          <w:p w14:paraId="7E7EE1A5" w14:textId="77777777" w:rsidR="009F762E" w:rsidRPr="00242DFB" w:rsidRDefault="00000000" w:rsidP="002A0E52">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may-25</w:t>
            </w:r>
          </w:p>
        </w:tc>
        <w:tc>
          <w:tcPr>
            <w:tcW w:w="682" w:type="dxa"/>
            <w:tcBorders>
              <w:left w:val="single" w:sz="8" w:space="0" w:color="000000"/>
              <w:bottom w:val="single" w:sz="8" w:space="0" w:color="000000"/>
              <w:right w:val="single" w:sz="8" w:space="0" w:color="000000"/>
            </w:tcBorders>
            <w:vAlign w:val="center"/>
          </w:tcPr>
          <w:p w14:paraId="64A385D4" w14:textId="77777777" w:rsidR="009F762E" w:rsidRPr="00242DFB" w:rsidRDefault="00000000" w:rsidP="002A0E52">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jun-25</w:t>
            </w:r>
          </w:p>
        </w:tc>
        <w:tc>
          <w:tcPr>
            <w:tcW w:w="682" w:type="dxa"/>
            <w:tcBorders>
              <w:left w:val="single" w:sz="8" w:space="0" w:color="000000"/>
              <w:bottom w:val="single" w:sz="8" w:space="0" w:color="000000"/>
              <w:right w:val="single" w:sz="8" w:space="0" w:color="000000"/>
            </w:tcBorders>
            <w:vAlign w:val="center"/>
          </w:tcPr>
          <w:p w14:paraId="7051FED6" w14:textId="77777777" w:rsidR="009F762E" w:rsidRPr="00242DFB" w:rsidRDefault="00000000" w:rsidP="002A0E52">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jul-25</w:t>
            </w:r>
          </w:p>
        </w:tc>
        <w:tc>
          <w:tcPr>
            <w:tcW w:w="682" w:type="dxa"/>
            <w:tcBorders>
              <w:left w:val="single" w:sz="8" w:space="0" w:color="000000"/>
              <w:bottom w:val="single" w:sz="8" w:space="0" w:color="000000"/>
              <w:right w:val="single" w:sz="8" w:space="0" w:color="000000"/>
            </w:tcBorders>
            <w:vAlign w:val="center"/>
          </w:tcPr>
          <w:p w14:paraId="14AA5C5E" w14:textId="77777777" w:rsidR="009F762E" w:rsidRPr="00242DFB" w:rsidRDefault="00000000" w:rsidP="002A0E52">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ago-25</w:t>
            </w:r>
          </w:p>
        </w:tc>
        <w:tc>
          <w:tcPr>
            <w:tcW w:w="684" w:type="dxa"/>
            <w:tcBorders>
              <w:left w:val="single" w:sz="8" w:space="0" w:color="000000"/>
              <w:bottom w:val="single" w:sz="8" w:space="0" w:color="000000"/>
              <w:right w:val="single" w:sz="8" w:space="0" w:color="000000"/>
            </w:tcBorders>
            <w:vAlign w:val="center"/>
          </w:tcPr>
          <w:p w14:paraId="66A6491A" w14:textId="77777777" w:rsidR="009F762E" w:rsidRPr="00242DFB" w:rsidRDefault="00000000" w:rsidP="002A0E52">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sept-25</w:t>
            </w:r>
          </w:p>
        </w:tc>
        <w:tc>
          <w:tcPr>
            <w:tcW w:w="682" w:type="dxa"/>
            <w:tcBorders>
              <w:left w:val="single" w:sz="8" w:space="0" w:color="000000"/>
              <w:bottom w:val="single" w:sz="8" w:space="0" w:color="000000"/>
              <w:right w:val="single" w:sz="8" w:space="0" w:color="000000"/>
            </w:tcBorders>
            <w:vAlign w:val="center"/>
          </w:tcPr>
          <w:p w14:paraId="144F6B2D" w14:textId="77777777" w:rsidR="009F762E" w:rsidRPr="00242DFB" w:rsidRDefault="00000000" w:rsidP="002A0E52">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oct-25</w:t>
            </w:r>
          </w:p>
        </w:tc>
        <w:tc>
          <w:tcPr>
            <w:tcW w:w="682" w:type="dxa"/>
            <w:tcBorders>
              <w:left w:val="single" w:sz="8" w:space="0" w:color="000000"/>
              <w:bottom w:val="single" w:sz="8" w:space="0" w:color="000000"/>
              <w:right w:val="single" w:sz="8" w:space="0" w:color="000000"/>
            </w:tcBorders>
            <w:vAlign w:val="center"/>
          </w:tcPr>
          <w:p w14:paraId="45CF5312" w14:textId="77777777" w:rsidR="009F762E" w:rsidRPr="00242DFB" w:rsidRDefault="00000000" w:rsidP="002A0E52">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nov-25</w:t>
            </w:r>
          </w:p>
        </w:tc>
        <w:tc>
          <w:tcPr>
            <w:tcW w:w="682" w:type="dxa"/>
            <w:tcBorders>
              <w:left w:val="single" w:sz="8" w:space="0" w:color="000000"/>
              <w:bottom w:val="single" w:sz="8" w:space="0" w:color="000000"/>
              <w:right w:val="single" w:sz="8" w:space="0" w:color="000000"/>
            </w:tcBorders>
            <w:vAlign w:val="center"/>
          </w:tcPr>
          <w:p w14:paraId="3DB2BC72" w14:textId="77777777" w:rsidR="009F762E" w:rsidRPr="00242DFB" w:rsidRDefault="00000000" w:rsidP="002A0E52">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dic-25</w:t>
            </w:r>
          </w:p>
        </w:tc>
      </w:tr>
      <w:tr w:rsidR="009F762E" w:rsidRPr="00242DFB" w14:paraId="0A2F13F5" w14:textId="77777777" w:rsidTr="002D7FF0">
        <w:trPr>
          <w:gridAfter w:val="1"/>
          <w:wAfter w:w="10" w:type="dxa"/>
          <w:cantSplit/>
          <w:trHeight w:val="425"/>
        </w:trPr>
        <w:tc>
          <w:tcPr>
            <w:tcW w:w="709" w:type="dxa"/>
            <w:tcBorders>
              <w:top w:val="single" w:sz="8" w:space="0" w:color="000000"/>
              <w:left w:val="single" w:sz="8" w:space="0" w:color="000000"/>
              <w:bottom w:val="single" w:sz="8" w:space="0" w:color="000000"/>
              <w:right w:val="single" w:sz="8" w:space="0" w:color="000000"/>
            </w:tcBorders>
            <w:vAlign w:val="center"/>
          </w:tcPr>
          <w:p w14:paraId="0F390DCF" w14:textId="77777777" w:rsidR="009F762E" w:rsidRPr="00242DFB" w:rsidRDefault="00000000" w:rsidP="002A0E52">
            <w:pPr>
              <w:spacing w:line="360" w:lineRule="auto"/>
              <w:jc w:val="center"/>
              <w:rPr>
                <w:rFonts w:ascii="Arial" w:hAnsi="Arial" w:cs="Arial"/>
                <w:color w:val="000000" w:themeColor="text1"/>
                <w:sz w:val="20"/>
                <w:szCs w:val="20"/>
              </w:rPr>
            </w:pPr>
            <w:r w:rsidRPr="00242DFB">
              <w:rPr>
                <w:rFonts w:ascii="Arial" w:eastAsia="Arial" w:hAnsi="Arial" w:cs="Arial"/>
                <w:color w:val="000000" w:themeColor="text1"/>
                <w:sz w:val="20"/>
                <w:szCs w:val="20"/>
              </w:rPr>
              <w:t>A14</w:t>
            </w:r>
          </w:p>
        </w:tc>
        <w:tc>
          <w:tcPr>
            <w:tcW w:w="1759" w:type="dxa"/>
            <w:tcBorders>
              <w:top w:val="single" w:sz="8" w:space="0" w:color="000000"/>
              <w:left w:val="single" w:sz="8" w:space="0" w:color="000000"/>
              <w:bottom w:val="single" w:sz="8" w:space="0" w:color="000000"/>
              <w:right w:val="single" w:sz="8" w:space="0" w:color="000000"/>
            </w:tcBorders>
            <w:vAlign w:val="center"/>
          </w:tcPr>
          <w:p w14:paraId="1AD36D08" w14:textId="77777777" w:rsidR="009F762E" w:rsidRPr="00242DFB" w:rsidRDefault="00000000" w:rsidP="002A0E52">
            <w:pPr>
              <w:spacing w:line="360" w:lineRule="auto"/>
              <w:jc w:val="both"/>
              <w:rPr>
                <w:rFonts w:ascii="Arial" w:hAnsi="Arial" w:cs="Arial"/>
                <w:color w:val="000000" w:themeColor="text1"/>
                <w:sz w:val="20"/>
                <w:szCs w:val="20"/>
              </w:rPr>
            </w:pPr>
            <w:r w:rsidRPr="00242DFB">
              <w:rPr>
                <w:rFonts w:ascii="Arial" w:eastAsia="Arial" w:hAnsi="Arial" w:cs="Arial"/>
                <w:color w:val="000000" w:themeColor="text1"/>
                <w:sz w:val="20"/>
                <w:szCs w:val="20"/>
              </w:rPr>
              <w:t>Tiempo de espera, para la entrega de medicamentos incluidos en el Plan de Beneficios en Salud (PBS)</w:t>
            </w:r>
          </w:p>
        </w:tc>
        <w:tc>
          <w:tcPr>
            <w:tcW w:w="683" w:type="dxa"/>
            <w:tcBorders>
              <w:top w:val="single" w:sz="8" w:space="0" w:color="000000"/>
              <w:left w:val="single" w:sz="8" w:space="0" w:color="000000"/>
              <w:bottom w:val="single" w:sz="8" w:space="0" w:color="000000"/>
              <w:right w:val="single" w:sz="8" w:space="0" w:color="000000"/>
            </w:tcBorders>
            <w:vAlign w:val="center"/>
          </w:tcPr>
          <w:p w14:paraId="3C0A938A"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1,25</w:t>
            </w:r>
          </w:p>
          <w:p w14:paraId="7CCAE17B"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días</w:t>
            </w:r>
          </w:p>
        </w:tc>
        <w:tc>
          <w:tcPr>
            <w:tcW w:w="682" w:type="dxa"/>
            <w:tcBorders>
              <w:top w:val="single" w:sz="8" w:space="0" w:color="000000"/>
              <w:left w:val="single" w:sz="8" w:space="0" w:color="000000"/>
              <w:bottom w:val="single" w:sz="8" w:space="0" w:color="000000"/>
              <w:right w:val="single" w:sz="8" w:space="0" w:color="000000"/>
            </w:tcBorders>
            <w:vAlign w:val="center"/>
          </w:tcPr>
          <w:p w14:paraId="0E392F69"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1,3 5 días</w:t>
            </w:r>
          </w:p>
        </w:tc>
        <w:tc>
          <w:tcPr>
            <w:tcW w:w="683" w:type="dxa"/>
            <w:tcBorders>
              <w:top w:val="single" w:sz="8" w:space="0" w:color="000000"/>
              <w:left w:val="single" w:sz="8" w:space="0" w:color="000000"/>
              <w:bottom w:val="single" w:sz="8" w:space="0" w:color="000000"/>
              <w:right w:val="single" w:sz="8" w:space="0" w:color="000000"/>
            </w:tcBorders>
            <w:vAlign w:val="center"/>
          </w:tcPr>
          <w:p w14:paraId="42DC8F35"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1,47 días</w:t>
            </w:r>
          </w:p>
        </w:tc>
        <w:tc>
          <w:tcPr>
            <w:tcW w:w="682" w:type="dxa"/>
            <w:tcBorders>
              <w:top w:val="single" w:sz="8" w:space="0" w:color="000000"/>
              <w:left w:val="single" w:sz="8" w:space="0" w:color="000000"/>
              <w:bottom w:val="single" w:sz="8" w:space="0" w:color="000000"/>
              <w:right w:val="single" w:sz="8" w:space="0" w:color="000000"/>
            </w:tcBorders>
            <w:vAlign w:val="center"/>
          </w:tcPr>
          <w:p w14:paraId="226EC9B5"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1,28 días</w:t>
            </w:r>
          </w:p>
        </w:tc>
        <w:tc>
          <w:tcPr>
            <w:tcW w:w="683" w:type="dxa"/>
            <w:tcBorders>
              <w:top w:val="single" w:sz="8" w:space="0" w:color="000000"/>
              <w:left w:val="single" w:sz="8" w:space="0" w:color="000000"/>
              <w:bottom w:val="single" w:sz="8" w:space="0" w:color="000000"/>
              <w:right w:val="single" w:sz="8" w:space="0" w:color="000000"/>
            </w:tcBorders>
            <w:vAlign w:val="center"/>
          </w:tcPr>
          <w:p w14:paraId="0F3CFC59"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1,36 días</w:t>
            </w:r>
          </w:p>
        </w:tc>
        <w:tc>
          <w:tcPr>
            <w:tcW w:w="682" w:type="dxa"/>
            <w:tcBorders>
              <w:top w:val="single" w:sz="8" w:space="0" w:color="000000"/>
              <w:left w:val="single" w:sz="8" w:space="0" w:color="000000"/>
              <w:bottom w:val="single" w:sz="8" w:space="0" w:color="000000"/>
              <w:right w:val="single" w:sz="8" w:space="0" w:color="000000"/>
            </w:tcBorders>
            <w:vAlign w:val="center"/>
          </w:tcPr>
          <w:p w14:paraId="31A9A2C6"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1,28 días</w:t>
            </w:r>
          </w:p>
        </w:tc>
        <w:tc>
          <w:tcPr>
            <w:tcW w:w="682" w:type="dxa"/>
            <w:tcBorders>
              <w:top w:val="single" w:sz="8" w:space="0" w:color="000000"/>
              <w:left w:val="single" w:sz="8" w:space="0" w:color="000000"/>
              <w:bottom w:val="single" w:sz="8" w:space="0" w:color="000000"/>
              <w:right w:val="single" w:sz="8" w:space="0" w:color="000000"/>
            </w:tcBorders>
            <w:vAlign w:val="center"/>
          </w:tcPr>
          <w:p w14:paraId="53D6417F"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1,35 días</w:t>
            </w:r>
          </w:p>
        </w:tc>
        <w:tc>
          <w:tcPr>
            <w:tcW w:w="682" w:type="dxa"/>
            <w:tcBorders>
              <w:top w:val="single" w:sz="8" w:space="0" w:color="000000"/>
              <w:left w:val="single" w:sz="8" w:space="0" w:color="000000"/>
              <w:bottom w:val="single" w:sz="8" w:space="0" w:color="000000"/>
              <w:right w:val="single" w:sz="8" w:space="0" w:color="000000"/>
            </w:tcBorders>
            <w:vAlign w:val="center"/>
          </w:tcPr>
          <w:p w14:paraId="5D9B8E7C"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1,18 días</w:t>
            </w:r>
          </w:p>
        </w:tc>
        <w:tc>
          <w:tcPr>
            <w:tcW w:w="684" w:type="dxa"/>
            <w:tcBorders>
              <w:top w:val="single" w:sz="8" w:space="0" w:color="000000"/>
              <w:left w:val="single" w:sz="8" w:space="0" w:color="000000"/>
              <w:bottom w:val="single" w:sz="8" w:space="0" w:color="000000"/>
              <w:right w:val="single" w:sz="8" w:space="0" w:color="000000"/>
            </w:tcBorders>
            <w:vAlign w:val="center"/>
          </w:tcPr>
          <w:p w14:paraId="33B613B9"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1,46 días</w:t>
            </w:r>
          </w:p>
        </w:tc>
        <w:tc>
          <w:tcPr>
            <w:tcW w:w="682" w:type="dxa"/>
            <w:tcBorders>
              <w:top w:val="single" w:sz="8" w:space="0" w:color="000000"/>
              <w:left w:val="single" w:sz="8" w:space="0" w:color="000000"/>
              <w:bottom w:val="single" w:sz="8" w:space="0" w:color="000000"/>
              <w:right w:val="single" w:sz="8" w:space="0" w:color="000000"/>
            </w:tcBorders>
            <w:vAlign w:val="center"/>
          </w:tcPr>
          <w:p w14:paraId="6B1F7087"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0,64 días</w:t>
            </w:r>
          </w:p>
        </w:tc>
        <w:tc>
          <w:tcPr>
            <w:tcW w:w="682" w:type="dxa"/>
            <w:tcBorders>
              <w:top w:val="single" w:sz="8" w:space="0" w:color="000000"/>
              <w:left w:val="single" w:sz="8" w:space="0" w:color="000000"/>
              <w:bottom w:val="single" w:sz="8" w:space="0" w:color="000000"/>
              <w:right w:val="single" w:sz="8" w:space="0" w:color="000000"/>
            </w:tcBorders>
            <w:vAlign w:val="center"/>
          </w:tcPr>
          <w:p w14:paraId="302CE075"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0,61 días</w:t>
            </w:r>
          </w:p>
        </w:tc>
        <w:tc>
          <w:tcPr>
            <w:tcW w:w="682" w:type="dxa"/>
            <w:tcBorders>
              <w:top w:val="single" w:sz="8" w:space="0" w:color="000000"/>
              <w:left w:val="single" w:sz="8" w:space="0" w:color="000000"/>
              <w:bottom w:val="single" w:sz="8" w:space="0" w:color="000000"/>
              <w:right w:val="single" w:sz="8" w:space="0" w:color="000000"/>
            </w:tcBorders>
            <w:vAlign w:val="center"/>
          </w:tcPr>
          <w:p w14:paraId="44ABB442"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0,19 días</w:t>
            </w:r>
          </w:p>
        </w:tc>
      </w:tr>
      <w:tr w:rsidR="009F762E" w:rsidRPr="00242DFB" w14:paraId="651E4349" w14:textId="77777777" w:rsidTr="002D7FF0">
        <w:trPr>
          <w:gridAfter w:val="1"/>
          <w:wAfter w:w="10" w:type="dxa"/>
          <w:cantSplit/>
          <w:trHeight w:val="410"/>
        </w:trPr>
        <w:tc>
          <w:tcPr>
            <w:tcW w:w="709" w:type="dxa"/>
            <w:tcBorders>
              <w:top w:val="single" w:sz="8" w:space="0" w:color="000000"/>
              <w:left w:val="single" w:sz="8" w:space="0" w:color="000000"/>
              <w:bottom w:val="single" w:sz="8" w:space="0" w:color="000000"/>
              <w:right w:val="single" w:sz="8" w:space="0" w:color="000000"/>
            </w:tcBorders>
            <w:vAlign w:val="center"/>
          </w:tcPr>
          <w:p w14:paraId="4B1D5886" w14:textId="77777777" w:rsidR="009F762E" w:rsidRPr="00242DFB" w:rsidRDefault="00000000" w:rsidP="002A0E52">
            <w:pPr>
              <w:spacing w:line="360" w:lineRule="auto"/>
              <w:jc w:val="center"/>
              <w:rPr>
                <w:rFonts w:ascii="Arial" w:hAnsi="Arial" w:cs="Arial"/>
                <w:color w:val="000000" w:themeColor="text1"/>
                <w:sz w:val="20"/>
                <w:szCs w:val="20"/>
              </w:rPr>
            </w:pPr>
            <w:r w:rsidRPr="00242DFB">
              <w:rPr>
                <w:rFonts w:ascii="Arial" w:eastAsia="Arial" w:hAnsi="Arial" w:cs="Arial"/>
                <w:color w:val="000000" w:themeColor="text1"/>
                <w:sz w:val="20"/>
                <w:szCs w:val="20"/>
              </w:rPr>
              <w:lastRenderedPageBreak/>
              <w:t>A15</w:t>
            </w:r>
          </w:p>
        </w:tc>
        <w:tc>
          <w:tcPr>
            <w:tcW w:w="1759" w:type="dxa"/>
            <w:tcBorders>
              <w:top w:val="single" w:sz="8" w:space="0" w:color="000000"/>
              <w:left w:val="single" w:sz="8" w:space="0" w:color="000000"/>
              <w:bottom w:val="single" w:sz="8" w:space="0" w:color="000000"/>
              <w:right w:val="single" w:sz="8" w:space="0" w:color="000000"/>
            </w:tcBorders>
            <w:vAlign w:val="center"/>
          </w:tcPr>
          <w:p w14:paraId="3FD9E133" w14:textId="77777777" w:rsidR="009F762E" w:rsidRPr="00242DFB" w:rsidRDefault="00000000" w:rsidP="002A0E52">
            <w:pPr>
              <w:spacing w:line="360" w:lineRule="auto"/>
              <w:jc w:val="both"/>
              <w:rPr>
                <w:rFonts w:ascii="Arial" w:hAnsi="Arial" w:cs="Arial"/>
                <w:color w:val="000000" w:themeColor="text1"/>
                <w:sz w:val="20"/>
                <w:szCs w:val="20"/>
              </w:rPr>
            </w:pPr>
            <w:r w:rsidRPr="00242DFB">
              <w:rPr>
                <w:rFonts w:ascii="Arial" w:eastAsia="Arial" w:hAnsi="Arial" w:cs="Arial"/>
                <w:color w:val="000000" w:themeColor="text1"/>
                <w:sz w:val="20"/>
                <w:szCs w:val="20"/>
              </w:rPr>
              <w:t>Porcentaje de fórmulas médicas entregadas de manera completa</w:t>
            </w:r>
          </w:p>
        </w:tc>
        <w:tc>
          <w:tcPr>
            <w:tcW w:w="683" w:type="dxa"/>
            <w:tcBorders>
              <w:top w:val="single" w:sz="8" w:space="0" w:color="000000"/>
              <w:left w:val="single" w:sz="8" w:space="0" w:color="000000"/>
              <w:bottom w:val="single" w:sz="8" w:space="0" w:color="000000"/>
              <w:right w:val="single" w:sz="8" w:space="0" w:color="000000"/>
            </w:tcBorders>
            <w:vAlign w:val="center"/>
          </w:tcPr>
          <w:p w14:paraId="24A1372C"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93,1%</w:t>
            </w:r>
          </w:p>
        </w:tc>
        <w:tc>
          <w:tcPr>
            <w:tcW w:w="682" w:type="dxa"/>
            <w:tcBorders>
              <w:top w:val="single" w:sz="8" w:space="0" w:color="000000"/>
              <w:left w:val="single" w:sz="8" w:space="0" w:color="000000"/>
              <w:bottom w:val="single" w:sz="8" w:space="0" w:color="000000"/>
              <w:right w:val="single" w:sz="8" w:space="0" w:color="000000"/>
            </w:tcBorders>
            <w:vAlign w:val="center"/>
          </w:tcPr>
          <w:p w14:paraId="57CE5E10"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91,2%</w:t>
            </w:r>
          </w:p>
        </w:tc>
        <w:tc>
          <w:tcPr>
            <w:tcW w:w="683" w:type="dxa"/>
            <w:tcBorders>
              <w:top w:val="single" w:sz="8" w:space="0" w:color="000000"/>
              <w:left w:val="single" w:sz="8" w:space="0" w:color="000000"/>
              <w:bottom w:val="single" w:sz="8" w:space="0" w:color="000000"/>
              <w:right w:val="single" w:sz="8" w:space="0" w:color="000000"/>
            </w:tcBorders>
            <w:vAlign w:val="center"/>
          </w:tcPr>
          <w:p w14:paraId="22FB65CE"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93,8%</w:t>
            </w:r>
          </w:p>
        </w:tc>
        <w:tc>
          <w:tcPr>
            <w:tcW w:w="682" w:type="dxa"/>
            <w:tcBorders>
              <w:top w:val="single" w:sz="8" w:space="0" w:color="000000"/>
              <w:left w:val="single" w:sz="8" w:space="0" w:color="000000"/>
              <w:bottom w:val="single" w:sz="8" w:space="0" w:color="000000"/>
              <w:right w:val="single" w:sz="8" w:space="0" w:color="000000"/>
            </w:tcBorders>
            <w:vAlign w:val="center"/>
          </w:tcPr>
          <w:p w14:paraId="217D4915"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89,0%</w:t>
            </w:r>
          </w:p>
        </w:tc>
        <w:tc>
          <w:tcPr>
            <w:tcW w:w="683" w:type="dxa"/>
            <w:tcBorders>
              <w:top w:val="single" w:sz="8" w:space="0" w:color="000000"/>
              <w:left w:val="single" w:sz="8" w:space="0" w:color="000000"/>
              <w:bottom w:val="single" w:sz="8" w:space="0" w:color="000000"/>
              <w:right w:val="single" w:sz="8" w:space="0" w:color="000000"/>
            </w:tcBorders>
            <w:vAlign w:val="center"/>
          </w:tcPr>
          <w:p w14:paraId="5E697BC6"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90,2%</w:t>
            </w:r>
          </w:p>
        </w:tc>
        <w:tc>
          <w:tcPr>
            <w:tcW w:w="682" w:type="dxa"/>
            <w:tcBorders>
              <w:top w:val="single" w:sz="8" w:space="0" w:color="000000"/>
              <w:left w:val="single" w:sz="8" w:space="0" w:color="000000"/>
              <w:bottom w:val="single" w:sz="8" w:space="0" w:color="000000"/>
              <w:right w:val="single" w:sz="8" w:space="0" w:color="000000"/>
            </w:tcBorders>
            <w:vAlign w:val="center"/>
          </w:tcPr>
          <w:p w14:paraId="0FBE5045"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93,4%</w:t>
            </w:r>
          </w:p>
        </w:tc>
        <w:tc>
          <w:tcPr>
            <w:tcW w:w="682" w:type="dxa"/>
            <w:tcBorders>
              <w:top w:val="single" w:sz="8" w:space="0" w:color="000000"/>
              <w:left w:val="single" w:sz="8" w:space="0" w:color="000000"/>
              <w:bottom w:val="single" w:sz="8" w:space="0" w:color="000000"/>
              <w:right w:val="single" w:sz="8" w:space="0" w:color="000000"/>
            </w:tcBorders>
            <w:vAlign w:val="center"/>
          </w:tcPr>
          <w:p w14:paraId="131A2BC7"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93,4%</w:t>
            </w:r>
          </w:p>
        </w:tc>
        <w:tc>
          <w:tcPr>
            <w:tcW w:w="682" w:type="dxa"/>
            <w:tcBorders>
              <w:top w:val="single" w:sz="8" w:space="0" w:color="000000"/>
              <w:left w:val="single" w:sz="8" w:space="0" w:color="000000"/>
              <w:bottom w:val="single" w:sz="8" w:space="0" w:color="000000"/>
              <w:right w:val="single" w:sz="8" w:space="0" w:color="000000"/>
            </w:tcBorders>
            <w:vAlign w:val="center"/>
          </w:tcPr>
          <w:p w14:paraId="6E0E3A6C"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93,6%</w:t>
            </w:r>
          </w:p>
        </w:tc>
        <w:tc>
          <w:tcPr>
            <w:tcW w:w="684" w:type="dxa"/>
            <w:tcBorders>
              <w:top w:val="single" w:sz="8" w:space="0" w:color="000000"/>
              <w:left w:val="single" w:sz="8" w:space="0" w:color="000000"/>
              <w:bottom w:val="single" w:sz="8" w:space="0" w:color="000000"/>
              <w:right w:val="single" w:sz="8" w:space="0" w:color="000000"/>
            </w:tcBorders>
            <w:vAlign w:val="center"/>
          </w:tcPr>
          <w:p w14:paraId="32E425DD"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93,8%</w:t>
            </w:r>
          </w:p>
        </w:tc>
        <w:tc>
          <w:tcPr>
            <w:tcW w:w="682" w:type="dxa"/>
            <w:tcBorders>
              <w:top w:val="single" w:sz="8" w:space="0" w:color="000000"/>
              <w:left w:val="single" w:sz="8" w:space="0" w:color="000000"/>
              <w:bottom w:val="single" w:sz="8" w:space="0" w:color="000000"/>
              <w:right w:val="single" w:sz="8" w:space="0" w:color="000000"/>
            </w:tcBorders>
            <w:vAlign w:val="center"/>
          </w:tcPr>
          <w:p w14:paraId="758D6706"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94,4%</w:t>
            </w:r>
          </w:p>
        </w:tc>
        <w:tc>
          <w:tcPr>
            <w:tcW w:w="682" w:type="dxa"/>
            <w:tcBorders>
              <w:top w:val="single" w:sz="8" w:space="0" w:color="000000"/>
              <w:left w:val="single" w:sz="8" w:space="0" w:color="000000"/>
              <w:bottom w:val="single" w:sz="8" w:space="0" w:color="000000"/>
              <w:right w:val="single" w:sz="8" w:space="0" w:color="000000"/>
            </w:tcBorders>
            <w:vAlign w:val="center"/>
          </w:tcPr>
          <w:p w14:paraId="4CB645EB"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96,8%</w:t>
            </w:r>
          </w:p>
        </w:tc>
        <w:tc>
          <w:tcPr>
            <w:tcW w:w="682" w:type="dxa"/>
            <w:tcBorders>
              <w:top w:val="single" w:sz="8" w:space="0" w:color="000000"/>
              <w:left w:val="single" w:sz="8" w:space="0" w:color="000000"/>
              <w:bottom w:val="single" w:sz="8" w:space="0" w:color="000000"/>
              <w:right w:val="single" w:sz="8" w:space="0" w:color="000000"/>
            </w:tcBorders>
            <w:vAlign w:val="center"/>
          </w:tcPr>
          <w:p w14:paraId="07A52237"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96,6%</w:t>
            </w:r>
          </w:p>
        </w:tc>
      </w:tr>
      <w:tr w:rsidR="009F762E" w:rsidRPr="00242DFB" w14:paraId="4FAD37B1" w14:textId="77777777" w:rsidTr="002D7FF0">
        <w:trPr>
          <w:gridAfter w:val="1"/>
          <w:wAfter w:w="10" w:type="dxa"/>
          <w:cantSplit/>
          <w:trHeight w:val="410"/>
        </w:trPr>
        <w:tc>
          <w:tcPr>
            <w:tcW w:w="709" w:type="dxa"/>
            <w:tcBorders>
              <w:top w:val="single" w:sz="8" w:space="0" w:color="000000"/>
              <w:left w:val="single" w:sz="8" w:space="0" w:color="000000"/>
              <w:bottom w:val="single" w:sz="8" w:space="0" w:color="000000"/>
              <w:right w:val="single" w:sz="8" w:space="0" w:color="000000"/>
            </w:tcBorders>
            <w:vAlign w:val="center"/>
          </w:tcPr>
          <w:p w14:paraId="55084745" w14:textId="77777777" w:rsidR="009F762E" w:rsidRPr="00242DFB" w:rsidRDefault="00000000" w:rsidP="002A0E52">
            <w:pPr>
              <w:spacing w:line="360" w:lineRule="auto"/>
              <w:jc w:val="center"/>
              <w:rPr>
                <w:rFonts w:ascii="Arial" w:hAnsi="Arial" w:cs="Arial"/>
                <w:color w:val="000000" w:themeColor="text1"/>
                <w:sz w:val="20"/>
                <w:szCs w:val="20"/>
              </w:rPr>
            </w:pPr>
            <w:r w:rsidRPr="00242DFB">
              <w:rPr>
                <w:rFonts w:ascii="Arial" w:eastAsia="Arial" w:hAnsi="Arial" w:cs="Arial"/>
                <w:color w:val="000000" w:themeColor="text1"/>
                <w:sz w:val="20"/>
                <w:szCs w:val="20"/>
              </w:rPr>
              <w:t>A16</w:t>
            </w:r>
          </w:p>
        </w:tc>
        <w:tc>
          <w:tcPr>
            <w:tcW w:w="1759" w:type="dxa"/>
            <w:tcBorders>
              <w:top w:val="single" w:sz="8" w:space="0" w:color="000000"/>
              <w:left w:val="single" w:sz="8" w:space="0" w:color="000000"/>
              <w:bottom w:val="single" w:sz="8" w:space="0" w:color="000000"/>
              <w:right w:val="single" w:sz="8" w:space="0" w:color="000000"/>
            </w:tcBorders>
            <w:vAlign w:val="center"/>
          </w:tcPr>
          <w:p w14:paraId="39A316A8" w14:textId="77777777" w:rsidR="009F762E" w:rsidRPr="00242DFB" w:rsidRDefault="00000000" w:rsidP="002A0E52">
            <w:pPr>
              <w:spacing w:line="360" w:lineRule="auto"/>
              <w:jc w:val="both"/>
              <w:rPr>
                <w:rFonts w:ascii="Arial" w:hAnsi="Arial" w:cs="Arial"/>
                <w:color w:val="000000" w:themeColor="text1"/>
                <w:sz w:val="20"/>
                <w:szCs w:val="20"/>
              </w:rPr>
            </w:pPr>
            <w:r w:rsidRPr="00242DFB">
              <w:rPr>
                <w:rFonts w:ascii="Arial" w:eastAsia="Arial" w:hAnsi="Arial" w:cs="Arial"/>
                <w:color w:val="000000" w:themeColor="text1"/>
                <w:sz w:val="20"/>
                <w:szCs w:val="20"/>
              </w:rPr>
              <w:t>Porcentaje de fórmulas médicas entregadas de manera oportuna</w:t>
            </w:r>
          </w:p>
        </w:tc>
        <w:tc>
          <w:tcPr>
            <w:tcW w:w="683" w:type="dxa"/>
            <w:tcBorders>
              <w:top w:val="single" w:sz="8" w:space="0" w:color="000000"/>
              <w:left w:val="single" w:sz="8" w:space="0" w:color="000000"/>
              <w:bottom w:val="single" w:sz="8" w:space="0" w:color="000000"/>
              <w:right w:val="single" w:sz="8" w:space="0" w:color="000000"/>
            </w:tcBorders>
            <w:vAlign w:val="center"/>
          </w:tcPr>
          <w:p w14:paraId="40A8F6C9"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94,3%</w:t>
            </w:r>
          </w:p>
        </w:tc>
        <w:tc>
          <w:tcPr>
            <w:tcW w:w="682" w:type="dxa"/>
            <w:tcBorders>
              <w:top w:val="single" w:sz="8" w:space="0" w:color="000000"/>
              <w:left w:val="single" w:sz="8" w:space="0" w:color="000000"/>
              <w:bottom w:val="single" w:sz="8" w:space="0" w:color="000000"/>
              <w:right w:val="single" w:sz="8" w:space="0" w:color="000000"/>
            </w:tcBorders>
            <w:vAlign w:val="center"/>
          </w:tcPr>
          <w:p w14:paraId="2D104900"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93,9%</w:t>
            </w:r>
          </w:p>
        </w:tc>
        <w:tc>
          <w:tcPr>
            <w:tcW w:w="683" w:type="dxa"/>
            <w:tcBorders>
              <w:top w:val="single" w:sz="8" w:space="0" w:color="000000"/>
              <w:left w:val="single" w:sz="8" w:space="0" w:color="000000"/>
              <w:bottom w:val="single" w:sz="8" w:space="0" w:color="000000"/>
              <w:right w:val="single" w:sz="8" w:space="0" w:color="000000"/>
            </w:tcBorders>
            <w:vAlign w:val="center"/>
          </w:tcPr>
          <w:p w14:paraId="64CD3F84"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96,4%</w:t>
            </w:r>
          </w:p>
        </w:tc>
        <w:tc>
          <w:tcPr>
            <w:tcW w:w="682" w:type="dxa"/>
            <w:tcBorders>
              <w:top w:val="single" w:sz="8" w:space="0" w:color="000000"/>
              <w:left w:val="single" w:sz="8" w:space="0" w:color="000000"/>
              <w:bottom w:val="single" w:sz="8" w:space="0" w:color="000000"/>
              <w:right w:val="single" w:sz="8" w:space="0" w:color="000000"/>
            </w:tcBorders>
            <w:vAlign w:val="center"/>
          </w:tcPr>
          <w:p w14:paraId="310AA5D6"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92,1%</w:t>
            </w:r>
          </w:p>
        </w:tc>
        <w:tc>
          <w:tcPr>
            <w:tcW w:w="683" w:type="dxa"/>
            <w:tcBorders>
              <w:top w:val="single" w:sz="8" w:space="0" w:color="000000"/>
              <w:left w:val="single" w:sz="8" w:space="0" w:color="000000"/>
              <w:bottom w:val="single" w:sz="8" w:space="0" w:color="000000"/>
              <w:right w:val="single" w:sz="8" w:space="0" w:color="000000"/>
            </w:tcBorders>
            <w:vAlign w:val="center"/>
          </w:tcPr>
          <w:p w14:paraId="0088D864"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92,2%</w:t>
            </w:r>
          </w:p>
        </w:tc>
        <w:tc>
          <w:tcPr>
            <w:tcW w:w="682" w:type="dxa"/>
            <w:tcBorders>
              <w:top w:val="single" w:sz="8" w:space="0" w:color="000000"/>
              <w:left w:val="single" w:sz="8" w:space="0" w:color="000000"/>
              <w:bottom w:val="single" w:sz="8" w:space="0" w:color="000000"/>
              <w:right w:val="single" w:sz="8" w:space="0" w:color="000000"/>
            </w:tcBorders>
            <w:vAlign w:val="center"/>
          </w:tcPr>
          <w:p w14:paraId="1CE2190C"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94,6%</w:t>
            </w:r>
          </w:p>
        </w:tc>
        <w:tc>
          <w:tcPr>
            <w:tcW w:w="682" w:type="dxa"/>
            <w:tcBorders>
              <w:top w:val="single" w:sz="8" w:space="0" w:color="000000"/>
              <w:left w:val="single" w:sz="8" w:space="0" w:color="000000"/>
              <w:bottom w:val="single" w:sz="8" w:space="0" w:color="000000"/>
              <w:right w:val="single" w:sz="8" w:space="0" w:color="000000"/>
            </w:tcBorders>
            <w:vAlign w:val="center"/>
          </w:tcPr>
          <w:p w14:paraId="28E794FD"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93,4%</w:t>
            </w:r>
          </w:p>
        </w:tc>
        <w:tc>
          <w:tcPr>
            <w:tcW w:w="682" w:type="dxa"/>
            <w:tcBorders>
              <w:top w:val="single" w:sz="8" w:space="0" w:color="000000"/>
              <w:left w:val="single" w:sz="8" w:space="0" w:color="000000"/>
              <w:bottom w:val="single" w:sz="8" w:space="0" w:color="000000"/>
              <w:right w:val="single" w:sz="8" w:space="0" w:color="000000"/>
            </w:tcBorders>
            <w:vAlign w:val="center"/>
          </w:tcPr>
          <w:p w14:paraId="574B72A8"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92,4%</w:t>
            </w:r>
          </w:p>
        </w:tc>
        <w:tc>
          <w:tcPr>
            <w:tcW w:w="684" w:type="dxa"/>
            <w:tcBorders>
              <w:top w:val="single" w:sz="8" w:space="0" w:color="000000"/>
              <w:left w:val="single" w:sz="8" w:space="0" w:color="000000"/>
              <w:bottom w:val="single" w:sz="8" w:space="0" w:color="000000"/>
              <w:right w:val="single" w:sz="8" w:space="0" w:color="000000"/>
            </w:tcBorders>
            <w:vAlign w:val="center"/>
          </w:tcPr>
          <w:p w14:paraId="047A76D5"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94,8%</w:t>
            </w:r>
          </w:p>
        </w:tc>
        <w:tc>
          <w:tcPr>
            <w:tcW w:w="682" w:type="dxa"/>
            <w:tcBorders>
              <w:top w:val="single" w:sz="8" w:space="0" w:color="000000"/>
              <w:left w:val="single" w:sz="8" w:space="0" w:color="000000"/>
              <w:bottom w:val="single" w:sz="8" w:space="0" w:color="000000"/>
              <w:right w:val="single" w:sz="8" w:space="0" w:color="000000"/>
            </w:tcBorders>
            <w:vAlign w:val="center"/>
          </w:tcPr>
          <w:p w14:paraId="692D7270"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94,1%</w:t>
            </w:r>
          </w:p>
        </w:tc>
        <w:tc>
          <w:tcPr>
            <w:tcW w:w="682" w:type="dxa"/>
            <w:tcBorders>
              <w:top w:val="single" w:sz="8" w:space="0" w:color="000000"/>
              <w:left w:val="single" w:sz="8" w:space="0" w:color="000000"/>
              <w:bottom w:val="single" w:sz="8" w:space="0" w:color="000000"/>
              <w:right w:val="single" w:sz="8" w:space="0" w:color="000000"/>
            </w:tcBorders>
            <w:vAlign w:val="center"/>
          </w:tcPr>
          <w:p w14:paraId="0F8C2136"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96,7%</w:t>
            </w:r>
          </w:p>
        </w:tc>
        <w:tc>
          <w:tcPr>
            <w:tcW w:w="682" w:type="dxa"/>
            <w:tcBorders>
              <w:top w:val="single" w:sz="8" w:space="0" w:color="000000"/>
              <w:left w:val="single" w:sz="8" w:space="0" w:color="000000"/>
              <w:bottom w:val="single" w:sz="8" w:space="0" w:color="000000"/>
              <w:right w:val="single" w:sz="8" w:space="0" w:color="000000"/>
            </w:tcBorders>
            <w:vAlign w:val="center"/>
          </w:tcPr>
          <w:p w14:paraId="0DE2C506" w14:textId="77777777" w:rsidR="009F762E" w:rsidRPr="00242DFB" w:rsidRDefault="00000000" w:rsidP="002A0E52">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96,2%</w:t>
            </w:r>
          </w:p>
        </w:tc>
      </w:tr>
    </w:tbl>
    <w:p w14:paraId="433E6A33" w14:textId="77777777" w:rsidR="009F762E" w:rsidRPr="00242DFB" w:rsidRDefault="00000000" w:rsidP="002D7FF0">
      <w:pPr>
        <w:spacing w:line="360" w:lineRule="auto"/>
        <w:jc w:val="both"/>
        <w:rPr>
          <w:rFonts w:ascii="Arial" w:hAnsi="Arial" w:cs="Arial"/>
          <w:color w:val="000000" w:themeColor="text1"/>
          <w:sz w:val="16"/>
          <w:szCs w:val="16"/>
        </w:rPr>
      </w:pPr>
      <w:r w:rsidRPr="00242DFB">
        <w:rPr>
          <w:rFonts w:ascii="Arial" w:hAnsi="Arial" w:cs="Arial"/>
          <w:color w:val="000000"/>
          <w:sz w:val="16"/>
          <w:szCs w:val="16"/>
        </w:rPr>
        <w:t>Fuente: Capital Salud EPS-S Respuesta al requerimiento No. 026-EE-54444 de la Subdirección de Garantía del Aseguramiento, mediante la cual se remite información de medicamentos solicitados por cohorte (serie mensual enero–diciembre de 2025).</w:t>
      </w:r>
    </w:p>
    <w:p w14:paraId="4C7D0BC1" w14:textId="77777777" w:rsidR="009F762E" w:rsidRPr="00242DFB" w:rsidRDefault="009F762E" w:rsidP="002A0E52">
      <w:pPr>
        <w:spacing w:line="360" w:lineRule="auto"/>
        <w:ind w:left="1342" w:right="1340"/>
        <w:jc w:val="both"/>
        <w:rPr>
          <w:rFonts w:ascii="Arial" w:eastAsia="Arial" w:hAnsi="Arial" w:cs="Arial"/>
          <w:color w:val="000000" w:themeColor="text1"/>
        </w:rPr>
      </w:pPr>
    </w:p>
    <w:p w14:paraId="43301C0F"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El indicador de tiempo de espera para la entrega de medicamentos PBS (A14) presentó un comportamiento relativamente estable durante la mayor parte del año, con valores entre 1,18 y 1,47 días entre enero y septiembre. Sin embargo, a partir de octubre se evidencia una reducción importante del tiempo de espera, pasando de 1,46 días en septiembre a 0,64 días en octubre, 0,61 días en noviembre y 0,19 días en diciembre. Este comportamiento podría reflejar una mejora en los procesos de dispensación y logística; no obstante, considerando la magnitud de la reducción observada en el último trimestre, resulta pertinente verificar si dicho resultado obedece exclusivamente a mejoras operativas o si existieron cambios en la metodología de medición o reporte.</w:t>
      </w:r>
    </w:p>
    <w:p w14:paraId="27B14C55" w14:textId="77777777" w:rsidR="009F762E" w:rsidRPr="00242DFB" w:rsidRDefault="009F762E" w:rsidP="002A0E52">
      <w:pPr>
        <w:spacing w:line="360" w:lineRule="auto"/>
        <w:jc w:val="both"/>
        <w:rPr>
          <w:rFonts w:ascii="Arial" w:hAnsi="Arial" w:cs="Arial"/>
          <w:color w:val="000000" w:themeColor="text1"/>
        </w:rPr>
      </w:pPr>
    </w:p>
    <w:p w14:paraId="57CA2D66"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En cuanto al porcentaje de fórmulas médicas entregadas de manera completa (A15), se observa un desempeño favorable durante todo el periodo, con resultados superiores al 89%. Los menores registros se presentaron en abril (89,0%) y mayo (90,2%), mientras que los mejores resultados se alcanzaron en noviembre (96,8%) y diciembre (96,6%). La tendencia general muestra una recuperación progresiva durante el segundo semestre, indicando una mejora en la capacidad de la red para suministrar la totalidad de los medicamentos prescritos en una misma entrega.</w:t>
      </w:r>
    </w:p>
    <w:p w14:paraId="023C77B4" w14:textId="77777777" w:rsidR="009F762E" w:rsidRPr="00242DFB" w:rsidRDefault="009F762E" w:rsidP="002A0E52">
      <w:pPr>
        <w:spacing w:line="360" w:lineRule="auto"/>
        <w:jc w:val="both"/>
        <w:rPr>
          <w:rFonts w:ascii="Arial" w:hAnsi="Arial" w:cs="Arial"/>
          <w:color w:val="000000" w:themeColor="text1"/>
        </w:rPr>
      </w:pPr>
    </w:p>
    <w:p w14:paraId="64C8D91B"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Por su parte, el indicador de oportunidad en la entrega de fórmulas médicas (A16) mantuvo niveles superiores al 92% durante toda la vigencia, alcanzando valores </w:t>
      </w:r>
      <w:r w:rsidRPr="00242DFB">
        <w:rPr>
          <w:rFonts w:ascii="Arial" w:eastAsia="Arial" w:hAnsi="Arial" w:cs="Arial"/>
          <w:color w:val="000000"/>
        </w:rPr>
        <w:lastRenderedPageBreak/>
        <w:t>máximos de 96,7% en noviembre y 96,2% en diciembre. Este comportamiento muestra una mejora parcial en la capacidad de respuesta frente a los tiempos definidos para la dispensación y muestra una tendencia favorable en el último trimestre del año.</w:t>
      </w:r>
    </w:p>
    <w:p w14:paraId="083DBACE" w14:textId="77777777" w:rsidR="009F762E" w:rsidRPr="00242DFB" w:rsidRDefault="009F762E" w:rsidP="002A0E52">
      <w:pPr>
        <w:spacing w:line="360" w:lineRule="auto"/>
        <w:jc w:val="both"/>
        <w:rPr>
          <w:rFonts w:ascii="Arial" w:hAnsi="Arial" w:cs="Arial"/>
          <w:color w:val="000000" w:themeColor="text1"/>
        </w:rPr>
      </w:pPr>
    </w:p>
    <w:p w14:paraId="43341AB9"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No obstante, al contrastar estos resultados con la información previamente analizada sobre medicamentos pendientes y medicamentos pendientes sin entrega efectiva, se identifica una situación que requiere especial atención. Aunque los indicadores agregados de completitud y oportunidad presentan desempeños superiores al 90%, persiste un volumen significativo de medicamentos pendientes y pendientes sin entrega efectiva, particularmente en cohortes priorizadas de alto riesgo. Lo anterior sugiere que los indicadores globales pueden reflejar un adecuado desempeño promedio del proceso de dispensación, pero no necesariamente capturan de manera integral las dificultades que enfrentan determinados grupos poblacionales que requieren tratamientos continuos y especializados.</w:t>
      </w:r>
    </w:p>
    <w:p w14:paraId="40F1F34A" w14:textId="77777777" w:rsidR="009F762E" w:rsidRPr="00242DFB" w:rsidRDefault="009F762E" w:rsidP="002A0E52">
      <w:pPr>
        <w:spacing w:line="360" w:lineRule="auto"/>
        <w:jc w:val="both"/>
        <w:rPr>
          <w:rFonts w:ascii="Arial" w:eastAsia="Arial" w:hAnsi="Arial" w:cs="Arial"/>
          <w:color w:val="000000" w:themeColor="text1"/>
        </w:rPr>
      </w:pPr>
    </w:p>
    <w:p w14:paraId="2C9B804A" w14:textId="2A437AF7" w:rsidR="009F762E" w:rsidRPr="00242DFB" w:rsidRDefault="00000000" w:rsidP="00225D0B">
      <w:pPr>
        <w:pStyle w:val="Ttulo1"/>
        <w:numPr>
          <w:ilvl w:val="0"/>
          <w:numId w:val="7"/>
        </w:numPr>
        <w:spacing w:before="0" w:line="360" w:lineRule="auto"/>
        <w:rPr>
          <w:rStyle w:val="eop"/>
          <w:rFonts w:ascii="Arial" w:hAnsi="Arial" w:cs="Arial"/>
          <w:b/>
          <w:bCs/>
          <w:color w:val="000000" w:themeColor="text1"/>
          <w:sz w:val="24"/>
          <w:szCs w:val="24"/>
        </w:rPr>
      </w:pPr>
      <w:r w:rsidRPr="00242DFB">
        <w:rPr>
          <w:rStyle w:val="eop"/>
          <w:rFonts w:ascii="Arial" w:hAnsi="Arial" w:cs="Arial"/>
          <w:b/>
          <w:bCs/>
          <w:color w:val="000000" w:themeColor="text1"/>
          <w:sz w:val="24"/>
          <w:szCs w:val="24"/>
        </w:rPr>
        <w:t>ANÁLISIS FINANCIERO</w:t>
      </w:r>
    </w:p>
    <w:p w14:paraId="386588F2" w14:textId="77777777" w:rsidR="00225D0B" w:rsidRPr="00242DFB" w:rsidRDefault="00225D0B" w:rsidP="00225D0B">
      <w:pPr>
        <w:spacing w:line="360" w:lineRule="auto"/>
        <w:jc w:val="both"/>
        <w:rPr>
          <w:rFonts w:ascii="Arial" w:hAnsi="Arial" w:cs="Arial"/>
        </w:rPr>
      </w:pPr>
    </w:p>
    <w:p w14:paraId="7479DDE3" w14:textId="77777777" w:rsidR="00225D0B" w:rsidRPr="00225D0B" w:rsidRDefault="00225D0B" w:rsidP="00225D0B">
      <w:pPr>
        <w:spacing w:line="360" w:lineRule="auto"/>
        <w:jc w:val="both"/>
        <w:rPr>
          <w:rFonts w:ascii="Arial" w:hAnsi="Arial" w:cs="Arial"/>
        </w:rPr>
      </w:pPr>
      <w:r w:rsidRPr="00225D0B">
        <w:rPr>
          <w:rFonts w:ascii="Arial" w:hAnsi="Arial" w:cs="Arial"/>
        </w:rPr>
        <w:t xml:space="preserve">El presente capítulo desarrolla el análisis financiero de </w:t>
      </w:r>
      <w:r w:rsidRPr="00225D0B">
        <w:rPr>
          <w:rFonts w:ascii="Arial" w:hAnsi="Arial" w:cs="Arial"/>
          <w:b/>
          <w:bCs/>
        </w:rPr>
        <w:t>Capital Salud EPS-S</w:t>
      </w:r>
      <w:r w:rsidRPr="00225D0B">
        <w:rPr>
          <w:rFonts w:ascii="Arial" w:hAnsi="Arial" w:cs="Arial"/>
        </w:rPr>
        <w:t xml:space="preserve"> para el periodo </w:t>
      </w:r>
      <w:r w:rsidRPr="00225D0B">
        <w:rPr>
          <w:rFonts w:ascii="Arial" w:hAnsi="Arial" w:cs="Arial"/>
          <w:b/>
          <w:bCs/>
        </w:rPr>
        <w:t>enero-diciembre de 2025</w:t>
      </w:r>
      <w:r w:rsidRPr="00225D0B">
        <w:rPr>
          <w:rFonts w:ascii="Arial" w:hAnsi="Arial" w:cs="Arial"/>
        </w:rPr>
        <w:t xml:space="preserve">, con base en la información contenida en los estados financieros reportados por la entidad y las fuentes oficiales revisadas para este ejercicio. Las cifras se presentan en </w:t>
      </w:r>
      <w:r w:rsidRPr="00225D0B">
        <w:rPr>
          <w:rFonts w:ascii="Arial" w:hAnsi="Arial" w:cs="Arial"/>
          <w:b/>
          <w:bCs/>
        </w:rPr>
        <w:t>millones de pesos</w:t>
      </w:r>
      <w:r w:rsidRPr="00225D0B">
        <w:rPr>
          <w:rFonts w:ascii="Arial" w:hAnsi="Arial" w:cs="Arial"/>
        </w:rPr>
        <w:t xml:space="preserve"> y permiten examinar la evolución de los principales componentes de la estructura financiera de la EPS, incluyendo activos, pasivos, patrimonio, liquidez, cuentas por cobrar, obligaciones con proveedores, provisiones, nivel de endeudamiento y comportamiento de la siniestralidad. En este contexto, el análisis tiene como propósito valorar la capacidad financiera y operativa de la EPS, identificar riesgos asociados a liquidez, solvencia y sostenibilidad, y establecer posibles alertas frente al cumplimiento de sus obligaciones con la red prestadora, la continuidad en la prestación de servicios y las condiciones financieras exigidas en el marco normativo vigente.</w:t>
      </w:r>
    </w:p>
    <w:p w14:paraId="49C2F8A0" w14:textId="77777777" w:rsidR="00225D0B" w:rsidRPr="00242DFB" w:rsidRDefault="00225D0B" w:rsidP="00225D0B">
      <w:pPr>
        <w:rPr>
          <w:rFonts w:ascii="Arial" w:hAnsi="Arial" w:cs="Arial"/>
        </w:rPr>
      </w:pPr>
    </w:p>
    <w:p w14:paraId="607F7801" w14:textId="77777777" w:rsidR="00225D0B" w:rsidRPr="00242DFB" w:rsidRDefault="00225D0B" w:rsidP="00225D0B">
      <w:pPr>
        <w:pStyle w:val="Prrafodelista"/>
        <w:ind w:left="360"/>
        <w:rPr>
          <w:rFonts w:ascii="Arial" w:hAnsi="Arial" w:cs="Arial"/>
        </w:rPr>
      </w:pPr>
    </w:p>
    <w:p w14:paraId="649561CF" w14:textId="68022B67" w:rsidR="009F762E" w:rsidRPr="00242DFB" w:rsidRDefault="00000000" w:rsidP="00225D0B">
      <w:pPr>
        <w:pStyle w:val="Ttulo2"/>
        <w:numPr>
          <w:ilvl w:val="1"/>
          <w:numId w:val="7"/>
        </w:numPr>
        <w:spacing w:before="0" w:line="360" w:lineRule="auto"/>
        <w:rPr>
          <w:rFonts w:ascii="Arial" w:hAnsi="Arial" w:cs="Arial"/>
          <w:b/>
          <w:bCs/>
          <w:color w:val="000000" w:themeColor="text1"/>
          <w:sz w:val="24"/>
          <w:szCs w:val="24"/>
        </w:rPr>
      </w:pPr>
      <w:r w:rsidRPr="00242DFB">
        <w:rPr>
          <w:rFonts w:ascii="Arial" w:hAnsi="Arial" w:cs="Arial"/>
          <w:b/>
          <w:bCs/>
          <w:color w:val="000000" w:themeColor="text1"/>
          <w:sz w:val="24"/>
          <w:szCs w:val="24"/>
        </w:rPr>
        <w:lastRenderedPageBreak/>
        <w:t>Estado de situación financiera</w:t>
      </w:r>
    </w:p>
    <w:p w14:paraId="51D6349D" w14:textId="77777777" w:rsidR="009F762E" w:rsidRPr="00242DFB" w:rsidRDefault="009F762E" w:rsidP="002A0E52">
      <w:pPr>
        <w:shd w:val="clear" w:color="auto" w:fill="FFFFFF" w:themeFill="background1"/>
        <w:spacing w:line="360" w:lineRule="auto"/>
        <w:jc w:val="both"/>
        <w:rPr>
          <w:rFonts w:ascii="Arial" w:eastAsia="Arial" w:hAnsi="Arial" w:cs="Arial"/>
          <w:b/>
          <w:bCs/>
          <w:color w:val="000000" w:themeColor="text1"/>
        </w:rPr>
      </w:pPr>
    </w:p>
    <w:p w14:paraId="723F1589" w14:textId="77777777" w:rsidR="00DA69F3" w:rsidRDefault="00000000" w:rsidP="00085DF0">
      <w:pPr>
        <w:spacing w:line="360" w:lineRule="auto"/>
        <w:jc w:val="both"/>
        <w:rPr>
          <w:rFonts w:ascii="Arial" w:hAnsi="Arial" w:cs="Arial"/>
          <w:color w:val="000000"/>
        </w:rPr>
      </w:pPr>
      <w:r w:rsidRPr="00242DFB">
        <w:rPr>
          <w:rFonts w:ascii="Arial" w:hAnsi="Arial" w:cs="Arial"/>
          <w:color w:val="000000"/>
        </w:rPr>
        <w:t xml:space="preserve">La información financiera de Capital Salud EPS-S se extrajo del sitio web oficial de la Superintendencia Nacional de Salud donde tiene publicado el formato FT001 </w:t>
      </w:r>
      <w:hyperlink r:id="rId22" w:history="1">
        <w:r w:rsidR="006B05FA" w:rsidRPr="00242DFB">
          <w:rPr>
            <w:rStyle w:val="Hipervnculo"/>
            <w:rFonts w:ascii="Arial" w:hAnsi="Arial" w:cs="Arial"/>
          </w:rPr>
          <w:t>https://www.supersalud.gov.co/es-co/transparencia-y-acceso-a-la-informacion-publica/datos-abiertos/seccion-de-datos-abiertos</w:t>
        </w:r>
      </w:hyperlink>
      <w:r w:rsidR="006B05FA" w:rsidRPr="00242DFB">
        <w:rPr>
          <w:rFonts w:ascii="Arial" w:hAnsi="Arial" w:cs="Arial"/>
          <w:color w:val="000000"/>
        </w:rPr>
        <w:t xml:space="preserve"> </w:t>
      </w:r>
      <w:r w:rsidRPr="00242DFB">
        <w:rPr>
          <w:rFonts w:ascii="Arial" w:hAnsi="Arial" w:cs="Arial"/>
          <w:color w:val="000000"/>
        </w:rPr>
        <w:t xml:space="preserve">donde se obtuvo la información correspondiente a los periodos enero a diciembre de 2025. </w:t>
      </w:r>
    </w:p>
    <w:p w14:paraId="622D81B9" w14:textId="77777777" w:rsidR="00DA69F3" w:rsidRDefault="00DA69F3" w:rsidP="00085DF0">
      <w:pPr>
        <w:spacing w:line="360" w:lineRule="auto"/>
        <w:jc w:val="both"/>
        <w:rPr>
          <w:rFonts w:ascii="Arial" w:hAnsi="Arial" w:cs="Arial"/>
          <w:color w:val="000000"/>
        </w:rPr>
      </w:pPr>
    </w:p>
    <w:p w14:paraId="21AD52E3" w14:textId="792A2DD7" w:rsidR="009F762E" w:rsidRPr="00242DFB" w:rsidRDefault="00000000" w:rsidP="00085DF0">
      <w:pPr>
        <w:spacing w:line="360" w:lineRule="auto"/>
        <w:jc w:val="both"/>
        <w:rPr>
          <w:rFonts w:ascii="Arial" w:hAnsi="Arial" w:cs="Arial"/>
          <w:color w:val="000000"/>
        </w:rPr>
      </w:pPr>
      <w:r w:rsidRPr="00242DFB">
        <w:rPr>
          <w:rFonts w:ascii="Arial" w:hAnsi="Arial" w:cs="Arial"/>
          <w:color w:val="000000"/>
        </w:rPr>
        <w:t xml:space="preserve">En términos generales y con el fin de realizar un análisis para determinar sí Capital Salud EPS-S cumple las condiciones financieras y de solvencia establecidas en el Decreto 780 de 2016, a continuación, en la tabla </w:t>
      </w:r>
      <w:r w:rsidRPr="00DA69F3">
        <w:rPr>
          <w:rFonts w:ascii="Arial" w:hAnsi="Arial" w:cs="Arial"/>
          <w:color w:val="000000"/>
        </w:rPr>
        <w:t>2</w:t>
      </w:r>
      <w:r w:rsidR="00DA69F3" w:rsidRPr="00DA69F3">
        <w:rPr>
          <w:rFonts w:ascii="Arial" w:hAnsi="Arial" w:cs="Arial"/>
          <w:color w:val="000000"/>
        </w:rPr>
        <w:t>5</w:t>
      </w:r>
      <w:r w:rsidRPr="00DA69F3">
        <w:rPr>
          <w:rFonts w:ascii="Arial" w:hAnsi="Arial" w:cs="Arial"/>
          <w:color w:val="000000"/>
        </w:rPr>
        <w:t>, se</w:t>
      </w:r>
      <w:r w:rsidRPr="00242DFB">
        <w:rPr>
          <w:rFonts w:ascii="Arial" w:hAnsi="Arial" w:cs="Arial"/>
          <w:color w:val="000000"/>
        </w:rPr>
        <w:t xml:space="preserve"> muestra el detalle del total de los activos, pasivos y patrimonio de los periodos mencionados: </w:t>
      </w:r>
    </w:p>
    <w:p w14:paraId="11519EDE" w14:textId="77777777" w:rsidR="009F762E" w:rsidRPr="00242DFB" w:rsidRDefault="009F762E" w:rsidP="002A0E52">
      <w:pPr>
        <w:spacing w:line="360" w:lineRule="auto"/>
        <w:jc w:val="both"/>
        <w:rPr>
          <w:rFonts w:ascii="Arial" w:eastAsia="Arial" w:hAnsi="Arial" w:cs="Arial"/>
          <w:color w:val="000000" w:themeColor="text1"/>
        </w:rPr>
      </w:pPr>
    </w:p>
    <w:p w14:paraId="66AD737A" w14:textId="45D448D9" w:rsidR="00A177E6" w:rsidRPr="00A177E6" w:rsidRDefault="00A177E6" w:rsidP="00A177E6">
      <w:pPr>
        <w:pStyle w:val="Descripcin"/>
        <w:keepNext/>
        <w:jc w:val="center"/>
        <w:rPr>
          <w:rFonts w:ascii="Arial" w:hAnsi="Arial" w:cs="Arial"/>
          <w:color w:val="000000" w:themeColor="text1"/>
          <w:sz w:val="24"/>
          <w:szCs w:val="24"/>
        </w:rPr>
      </w:pPr>
      <w:r w:rsidRPr="00A177E6">
        <w:rPr>
          <w:rFonts w:ascii="Arial" w:hAnsi="Arial" w:cs="Arial"/>
          <w:color w:val="000000" w:themeColor="text1"/>
          <w:sz w:val="24"/>
          <w:szCs w:val="24"/>
        </w:rPr>
        <w:t xml:space="preserve">Tabla </w:t>
      </w:r>
      <w:r w:rsidRPr="00A177E6">
        <w:rPr>
          <w:rFonts w:ascii="Arial" w:hAnsi="Arial" w:cs="Arial"/>
          <w:color w:val="000000" w:themeColor="text1"/>
          <w:sz w:val="24"/>
          <w:szCs w:val="24"/>
        </w:rPr>
        <w:fldChar w:fldCharType="begin"/>
      </w:r>
      <w:r w:rsidRPr="00A177E6">
        <w:rPr>
          <w:rFonts w:ascii="Arial" w:hAnsi="Arial" w:cs="Arial"/>
          <w:color w:val="000000" w:themeColor="text1"/>
          <w:sz w:val="24"/>
          <w:szCs w:val="24"/>
        </w:rPr>
        <w:instrText xml:space="preserve"> SEQ Tabla \* ARABIC </w:instrText>
      </w:r>
      <w:r w:rsidRPr="00A177E6">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25</w:t>
      </w:r>
      <w:r w:rsidRPr="00A177E6">
        <w:rPr>
          <w:rFonts w:ascii="Arial" w:hAnsi="Arial" w:cs="Arial"/>
          <w:color w:val="000000" w:themeColor="text1"/>
          <w:sz w:val="24"/>
          <w:szCs w:val="24"/>
        </w:rPr>
        <w:fldChar w:fldCharType="end"/>
      </w:r>
      <w:r w:rsidRPr="00A177E6">
        <w:rPr>
          <w:rFonts w:ascii="Arial" w:hAnsi="Arial" w:cs="Arial"/>
          <w:color w:val="000000" w:themeColor="text1"/>
          <w:sz w:val="24"/>
          <w:szCs w:val="24"/>
        </w:rPr>
        <w:t>. Estado de Situación Financiera</w:t>
      </w:r>
      <w:r w:rsidRPr="00A177E6">
        <w:t xml:space="preserve"> </w:t>
      </w:r>
      <w:r>
        <w:t>(</w:t>
      </w:r>
      <w:r w:rsidRPr="00A177E6">
        <w:rPr>
          <w:rFonts w:ascii="Arial" w:hAnsi="Arial" w:cs="Arial"/>
          <w:color w:val="000000" w:themeColor="text1"/>
          <w:sz w:val="24"/>
          <w:szCs w:val="24"/>
        </w:rPr>
        <w:t>Cifras en millones</w:t>
      </w:r>
      <w:r>
        <w:rPr>
          <w:rFonts w:ascii="Arial" w:hAnsi="Arial" w:cs="Arial"/>
          <w:color w:val="000000" w:themeColor="text1"/>
          <w:sz w:val="24"/>
          <w:szCs w:val="24"/>
        </w:rPr>
        <w:t>)</w:t>
      </w:r>
    </w:p>
    <w:tbl>
      <w:tblPr>
        <w:tblStyle w:val="Tablaconcuadrcula"/>
        <w:tblW w:w="11892" w:type="dxa"/>
        <w:jc w:val="center"/>
        <w:tblLook w:val="04A0" w:firstRow="1" w:lastRow="0" w:firstColumn="1" w:lastColumn="0" w:noHBand="0" w:noVBand="1"/>
      </w:tblPr>
      <w:tblGrid>
        <w:gridCol w:w="1284"/>
        <w:gridCol w:w="884"/>
        <w:gridCol w:w="884"/>
        <w:gridCol w:w="884"/>
        <w:gridCol w:w="884"/>
        <w:gridCol w:w="884"/>
        <w:gridCol w:w="884"/>
        <w:gridCol w:w="884"/>
        <w:gridCol w:w="884"/>
        <w:gridCol w:w="884"/>
        <w:gridCol w:w="884"/>
        <w:gridCol w:w="884"/>
        <w:gridCol w:w="884"/>
      </w:tblGrid>
      <w:tr w:rsidR="00242DFB" w:rsidRPr="00242DFB" w14:paraId="5F93E3F6" w14:textId="77777777" w:rsidTr="00A177E6">
        <w:trPr>
          <w:trHeight w:val="383"/>
          <w:tblHeader/>
          <w:jc w:val="center"/>
        </w:trPr>
        <w:tc>
          <w:tcPr>
            <w:tcW w:w="1284" w:type="dxa"/>
            <w:vAlign w:val="center"/>
            <w:hideMark/>
          </w:tcPr>
          <w:p w14:paraId="20C4ADD9" w14:textId="77777777" w:rsidR="00242DFB" w:rsidRPr="00242DFB" w:rsidRDefault="00242DFB" w:rsidP="00A177E6">
            <w:pPr>
              <w:jc w:val="center"/>
              <w:rPr>
                <w:rFonts w:ascii="Arial" w:hAnsi="Arial" w:cs="Arial"/>
                <w:b/>
                <w:bCs/>
                <w:color w:val="000000"/>
                <w:sz w:val="16"/>
                <w:szCs w:val="16"/>
              </w:rPr>
            </w:pPr>
            <w:r w:rsidRPr="00242DFB">
              <w:rPr>
                <w:rFonts w:ascii="Arial" w:hAnsi="Arial" w:cs="Arial"/>
                <w:b/>
                <w:bCs/>
                <w:color w:val="000000"/>
                <w:sz w:val="16"/>
                <w:szCs w:val="16"/>
              </w:rPr>
              <w:t>Concepto</w:t>
            </w:r>
          </w:p>
        </w:tc>
        <w:tc>
          <w:tcPr>
            <w:tcW w:w="0" w:type="auto"/>
            <w:vAlign w:val="center"/>
            <w:hideMark/>
          </w:tcPr>
          <w:p w14:paraId="344E277D" w14:textId="77777777" w:rsidR="00242DFB" w:rsidRPr="00242DFB" w:rsidRDefault="00242DFB" w:rsidP="00A177E6">
            <w:pPr>
              <w:jc w:val="center"/>
              <w:rPr>
                <w:rFonts w:ascii="Arial" w:hAnsi="Arial" w:cs="Arial"/>
                <w:b/>
                <w:bCs/>
                <w:color w:val="000000"/>
                <w:sz w:val="16"/>
                <w:szCs w:val="16"/>
              </w:rPr>
            </w:pPr>
            <w:r w:rsidRPr="00242DFB">
              <w:rPr>
                <w:rFonts w:ascii="Arial" w:hAnsi="Arial" w:cs="Arial"/>
                <w:b/>
                <w:bCs/>
                <w:color w:val="000000"/>
                <w:sz w:val="16"/>
                <w:szCs w:val="16"/>
              </w:rPr>
              <w:t>ene-25</w:t>
            </w:r>
          </w:p>
        </w:tc>
        <w:tc>
          <w:tcPr>
            <w:tcW w:w="0" w:type="auto"/>
            <w:vAlign w:val="center"/>
            <w:hideMark/>
          </w:tcPr>
          <w:p w14:paraId="354DAF17" w14:textId="77777777" w:rsidR="00242DFB" w:rsidRPr="00242DFB" w:rsidRDefault="00242DFB" w:rsidP="00A177E6">
            <w:pPr>
              <w:jc w:val="center"/>
              <w:rPr>
                <w:rFonts w:ascii="Arial" w:hAnsi="Arial" w:cs="Arial"/>
                <w:b/>
                <w:bCs/>
                <w:color w:val="000000"/>
                <w:sz w:val="16"/>
                <w:szCs w:val="16"/>
              </w:rPr>
            </w:pPr>
            <w:r w:rsidRPr="00242DFB">
              <w:rPr>
                <w:rFonts w:ascii="Arial" w:hAnsi="Arial" w:cs="Arial"/>
                <w:b/>
                <w:bCs/>
                <w:color w:val="000000"/>
                <w:sz w:val="16"/>
                <w:szCs w:val="16"/>
              </w:rPr>
              <w:t>feb-25</w:t>
            </w:r>
          </w:p>
        </w:tc>
        <w:tc>
          <w:tcPr>
            <w:tcW w:w="0" w:type="auto"/>
            <w:vAlign w:val="center"/>
            <w:hideMark/>
          </w:tcPr>
          <w:p w14:paraId="0042E68B" w14:textId="77777777" w:rsidR="00242DFB" w:rsidRPr="00242DFB" w:rsidRDefault="00242DFB" w:rsidP="00A177E6">
            <w:pPr>
              <w:jc w:val="center"/>
              <w:rPr>
                <w:rFonts w:ascii="Arial" w:hAnsi="Arial" w:cs="Arial"/>
                <w:b/>
                <w:bCs/>
                <w:color w:val="000000"/>
                <w:sz w:val="16"/>
                <w:szCs w:val="16"/>
              </w:rPr>
            </w:pPr>
            <w:r w:rsidRPr="00242DFB">
              <w:rPr>
                <w:rFonts w:ascii="Arial" w:hAnsi="Arial" w:cs="Arial"/>
                <w:b/>
                <w:bCs/>
                <w:color w:val="000000"/>
                <w:sz w:val="16"/>
                <w:szCs w:val="16"/>
              </w:rPr>
              <w:t>mar-25</w:t>
            </w:r>
          </w:p>
        </w:tc>
        <w:tc>
          <w:tcPr>
            <w:tcW w:w="0" w:type="auto"/>
            <w:vAlign w:val="center"/>
            <w:hideMark/>
          </w:tcPr>
          <w:p w14:paraId="2193062A" w14:textId="77777777" w:rsidR="00242DFB" w:rsidRPr="00242DFB" w:rsidRDefault="00242DFB" w:rsidP="00A177E6">
            <w:pPr>
              <w:jc w:val="center"/>
              <w:rPr>
                <w:rFonts w:ascii="Arial" w:hAnsi="Arial" w:cs="Arial"/>
                <w:b/>
                <w:bCs/>
                <w:color w:val="000000"/>
                <w:sz w:val="16"/>
                <w:szCs w:val="16"/>
              </w:rPr>
            </w:pPr>
            <w:r w:rsidRPr="00242DFB">
              <w:rPr>
                <w:rFonts w:ascii="Arial" w:hAnsi="Arial" w:cs="Arial"/>
                <w:b/>
                <w:bCs/>
                <w:color w:val="000000"/>
                <w:sz w:val="16"/>
                <w:szCs w:val="16"/>
              </w:rPr>
              <w:t>abr-25</w:t>
            </w:r>
          </w:p>
        </w:tc>
        <w:tc>
          <w:tcPr>
            <w:tcW w:w="0" w:type="auto"/>
            <w:vAlign w:val="center"/>
            <w:hideMark/>
          </w:tcPr>
          <w:p w14:paraId="20603E6C" w14:textId="77777777" w:rsidR="00242DFB" w:rsidRPr="00242DFB" w:rsidRDefault="00242DFB" w:rsidP="00A177E6">
            <w:pPr>
              <w:jc w:val="center"/>
              <w:rPr>
                <w:rFonts w:ascii="Arial" w:hAnsi="Arial" w:cs="Arial"/>
                <w:b/>
                <w:bCs/>
                <w:color w:val="000000"/>
                <w:sz w:val="16"/>
                <w:szCs w:val="16"/>
              </w:rPr>
            </w:pPr>
            <w:r w:rsidRPr="00242DFB">
              <w:rPr>
                <w:rFonts w:ascii="Arial" w:hAnsi="Arial" w:cs="Arial"/>
                <w:b/>
                <w:bCs/>
                <w:color w:val="000000"/>
                <w:sz w:val="16"/>
                <w:szCs w:val="16"/>
              </w:rPr>
              <w:t>may-25</w:t>
            </w:r>
          </w:p>
        </w:tc>
        <w:tc>
          <w:tcPr>
            <w:tcW w:w="0" w:type="auto"/>
            <w:vAlign w:val="center"/>
            <w:hideMark/>
          </w:tcPr>
          <w:p w14:paraId="274769D6" w14:textId="77777777" w:rsidR="00242DFB" w:rsidRPr="00242DFB" w:rsidRDefault="00242DFB" w:rsidP="00A177E6">
            <w:pPr>
              <w:jc w:val="center"/>
              <w:rPr>
                <w:rFonts w:ascii="Arial" w:hAnsi="Arial" w:cs="Arial"/>
                <w:b/>
                <w:bCs/>
                <w:color w:val="000000"/>
                <w:sz w:val="16"/>
                <w:szCs w:val="16"/>
              </w:rPr>
            </w:pPr>
            <w:r w:rsidRPr="00242DFB">
              <w:rPr>
                <w:rFonts w:ascii="Arial" w:hAnsi="Arial" w:cs="Arial"/>
                <w:b/>
                <w:bCs/>
                <w:color w:val="000000"/>
                <w:sz w:val="16"/>
                <w:szCs w:val="16"/>
              </w:rPr>
              <w:t>jun-25</w:t>
            </w:r>
          </w:p>
        </w:tc>
        <w:tc>
          <w:tcPr>
            <w:tcW w:w="0" w:type="auto"/>
            <w:vAlign w:val="center"/>
            <w:hideMark/>
          </w:tcPr>
          <w:p w14:paraId="79B3FDD9" w14:textId="77777777" w:rsidR="00242DFB" w:rsidRPr="00242DFB" w:rsidRDefault="00242DFB" w:rsidP="00A177E6">
            <w:pPr>
              <w:jc w:val="center"/>
              <w:rPr>
                <w:rFonts w:ascii="Arial" w:hAnsi="Arial" w:cs="Arial"/>
                <w:b/>
                <w:bCs/>
                <w:color w:val="000000"/>
                <w:sz w:val="16"/>
                <w:szCs w:val="16"/>
              </w:rPr>
            </w:pPr>
            <w:r w:rsidRPr="00242DFB">
              <w:rPr>
                <w:rFonts w:ascii="Arial" w:hAnsi="Arial" w:cs="Arial"/>
                <w:b/>
                <w:bCs/>
                <w:color w:val="000000"/>
                <w:sz w:val="16"/>
                <w:szCs w:val="16"/>
              </w:rPr>
              <w:t>jul-25</w:t>
            </w:r>
          </w:p>
        </w:tc>
        <w:tc>
          <w:tcPr>
            <w:tcW w:w="0" w:type="auto"/>
            <w:vAlign w:val="center"/>
            <w:hideMark/>
          </w:tcPr>
          <w:p w14:paraId="091E5623" w14:textId="77777777" w:rsidR="00242DFB" w:rsidRPr="00242DFB" w:rsidRDefault="00242DFB" w:rsidP="00A177E6">
            <w:pPr>
              <w:jc w:val="center"/>
              <w:rPr>
                <w:rFonts w:ascii="Arial" w:hAnsi="Arial" w:cs="Arial"/>
                <w:b/>
                <w:bCs/>
                <w:color w:val="000000"/>
                <w:sz w:val="16"/>
                <w:szCs w:val="16"/>
              </w:rPr>
            </w:pPr>
            <w:r w:rsidRPr="00242DFB">
              <w:rPr>
                <w:rFonts w:ascii="Arial" w:hAnsi="Arial" w:cs="Arial"/>
                <w:b/>
                <w:bCs/>
                <w:color w:val="000000"/>
                <w:sz w:val="16"/>
                <w:szCs w:val="16"/>
              </w:rPr>
              <w:t>ago-25</w:t>
            </w:r>
          </w:p>
        </w:tc>
        <w:tc>
          <w:tcPr>
            <w:tcW w:w="0" w:type="auto"/>
            <w:vAlign w:val="center"/>
            <w:hideMark/>
          </w:tcPr>
          <w:p w14:paraId="6BDB2A32" w14:textId="77777777" w:rsidR="00242DFB" w:rsidRPr="00242DFB" w:rsidRDefault="00242DFB" w:rsidP="00A177E6">
            <w:pPr>
              <w:jc w:val="center"/>
              <w:rPr>
                <w:rFonts w:ascii="Arial" w:hAnsi="Arial" w:cs="Arial"/>
                <w:b/>
                <w:bCs/>
                <w:color w:val="000000"/>
                <w:sz w:val="16"/>
                <w:szCs w:val="16"/>
              </w:rPr>
            </w:pPr>
            <w:r w:rsidRPr="00242DFB">
              <w:rPr>
                <w:rFonts w:ascii="Arial" w:hAnsi="Arial" w:cs="Arial"/>
                <w:b/>
                <w:bCs/>
                <w:color w:val="000000"/>
                <w:sz w:val="16"/>
                <w:szCs w:val="16"/>
              </w:rPr>
              <w:t>sep-25</w:t>
            </w:r>
          </w:p>
        </w:tc>
        <w:tc>
          <w:tcPr>
            <w:tcW w:w="0" w:type="auto"/>
            <w:vAlign w:val="center"/>
            <w:hideMark/>
          </w:tcPr>
          <w:p w14:paraId="51EEA3D1" w14:textId="77777777" w:rsidR="00242DFB" w:rsidRPr="00242DFB" w:rsidRDefault="00242DFB" w:rsidP="00A177E6">
            <w:pPr>
              <w:jc w:val="center"/>
              <w:rPr>
                <w:rFonts w:ascii="Arial" w:hAnsi="Arial" w:cs="Arial"/>
                <w:b/>
                <w:bCs/>
                <w:color w:val="000000"/>
                <w:sz w:val="16"/>
                <w:szCs w:val="16"/>
              </w:rPr>
            </w:pPr>
            <w:r w:rsidRPr="00242DFB">
              <w:rPr>
                <w:rFonts w:ascii="Arial" w:hAnsi="Arial" w:cs="Arial"/>
                <w:b/>
                <w:bCs/>
                <w:color w:val="000000"/>
                <w:sz w:val="16"/>
                <w:szCs w:val="16"/>
              </w:rPr>
              <w:t>oct-25</w:t>
            </w:r>
          </w:p>
        </w:tc>
        <w:tc>
          <w:tcPr>
            <w:tcW w:w="0" w:type="auto"/>
            <w:vAlign w:val="center"/>
            <w:hideMark/>
          </w:tcPr>
          <w:p w14:paraId="4B0F793E" w14:textId="77777777" w:rsidR="00242DFB" w:rsidRPr="00242DFB" w:rsidRDefault="00242DFB" w:rsidP="00A177E6">
            <w:pPr>
              <w:jc w:val="center"/>
              <w:rPr>
                <w:rFonts w:ascii="Arial" w:hAnsi="Arial" w:cs="Arial"/>
                <w:b/>
                <w:bCs/>
                <w:color w:val="000000"/>
                <w:sz w:val="16"/>
                <w:szCs w:val="16"/>
              </w:rPr>
            </w:pPr>
            <w:r w:rsidRPr="00242DFB">
              <w:rPr>
                <w:rFonts w:ascii="Arial" w:hAnsi="Arial" w:cs="Arial"/>
                <w:b/>
                <w:bCs/>
                <w:color w:val="000000"/>
                <w:sz w:val="16"/>
                <w:szCs w:val="16"/>
              </w:rPr>
              <w:t>nov-25</w:t>
            </w:r>
          </w:p>
        </w:tc>
        <w:tc>
          <w:tcPr>
            <w:tcW w:w="0" w:type="auto"/>
            <w:vAlign w:val="center"/>
            <w:hideMark/>
          </w:tcPr>
          <w:p w14:paraId="2BAB2414" w14:textId="77777777" w:rsidR="00242DFB" w:rsidRPr="00242DFB" w:rsidRDefault="00242DFB" w:rsidP="00A177E6">
            <w:pPr>
              <w:jc w:val="center"/>
              <w:rPr>
                <w:rFonts w:ascii="Arial" w:hAnsi="Arial" w:cs="Arial"/>
                <w:b/>
                <w:bCs/>
                <w:color w:val="000000"/>
                <w:sz w:val="16"/>
                <w:szCs w:val="16"/>
              </w:rPr>
            </w:pPr>
            <w:r w:rsidRPr="00242DFB">
              <w:rPr>
                <w:rFonts w:ascii="Arial" w:hAnsi="Arial" w:cs="Arial"/>
                <w:b/>
                <w:bCs/>
                <w:color w:val="000000"/>
                <w:sz w:val="16"/>
                <w:szCs w:val="16"/>
              </w:rPr>
              <w:t>dic-25</w:t>
            </w:r>
          </w:p>
        </w:tc>
      </w:tr>
      <w:tr w:rsidR="00242DFB" w:rsidRPr="00242DFB" w14:paraId="07F76F41" w14:textId="77777777" w:rsidTr="00A177E6">
        <w:trPr>
          <w:trHeight w:val="394"/>
          <w:jc w:val="center"/>
        </w:trPr>
        <w:tc>
          <w:tcPr>
            <w:tcW w:w="11892" w:type="dxa"/>
            <w:gridSpan w:val="13"/>
            <w:vAlign w:val="center"/>
            <w:hideMark/>
          </w:tcPr>
          <w:p w14:paraId="0DAB8419" w14:textId="658D68D7" w:rsidR="00242DFB" w:rsidRPr="00242DFB" w:rsidRDefault="00242DFB" w:rsidP="00A177E6">
            <w:pPr>
              <w:jc w:val="center"/>
              <w:rPr>
                <w:rFonts w:ascii="Arial" w:hAnsi="Arial" w:cs="Arial"/>
                <w:color w:val="000000"/>
                <w:sz w:val="16"/>
                <w:szCs w:val="16"/>
              </w:rPr>
            </w:pPr>
            <w:r w:rsidRPr="00242DFB">
              <w:rPr>
                <w:rFonts w:ascii="Arial" w:hAnsi="Arial" w:cs="Arial"/>
                <w:b/>
                <w:bCs/>
                <w:color w:val="000000"/>
                <w:sz w:val="16"/>
                <w:szCs w:val="16"/>
              </w:rPr>
              <w:t>ACTIVOS</w:t>
            </w:r>
          </w:p>
        </w:tc>
      </w:tr>
      <w:tr w:rsidR="00242DFB" w:rsidRPr="00242DFB" w14:paraId="4BDA4838" w14:textId="77777777" w:rsidTr="00A177E6">
        <w:trPr>
          <w:trHeight w:val="779"/>
          <w:jc w:val="center"/>
        </w:trPr>
        <w:tc>
          <w:tcPr>
            <w:tcW w:w="1284" w:type="dxa"/>
            <w:vAlign w:val="center"/>
            <w:hideMark/>
          </w:tcPr>
          <w:p w14:paraId="3A73BE9F" w14:textId="77777777" w:rsidR="00242DFB" w:rsidRPr="00242DFB" w:rsidRDefault="00242DFB" w:rsidP="00A177E6">
            <w:pPr>
              <w:jc w:val="center"/>
              <w:rPr>
                <w:rFonts w:ascii="Arial" w:hAnsi="Arial" w:cs="Arial"/>
                <w:color w:val="000000"/>
                <w:sz w:val="16"/>
                <w:szCs w:val="16"/>
              </w:rPr>
            </w:pPr>
            <w:r w:rsidRPr="00242DFB">
              <w:rPr>
                <w:rFonts w:ascii="Arial" w:hAnsi="Arial" w:cs="Arial"/>
                <w:color w:val="000000"/>
                <w:sz w:val="16"/>
                <w:szCs w:val="16"/>
              </w:rPr>
              <w:t>Efectivo y equivalentes al efectivo</w:t>
            </w:r>
          </w:p>
        </w:tc>
        <w:tc>
          <w:tcPr>
            <w:tcW w:w="0" w:type="auto"/>
            <w:vAlign w:val="center"/>
            <w:hideMark/>
          </w:tcPr>
          <w:p w14:paraId="0564A179"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$237.903</w:t>
            </w:r>
          </w:p>
        </w:tc>
        <w:tc>
          <w:tcPr>
            <w:tcW w:w="0" w:type="auto"/>
            <w:vAlign w:val="center"/>
            <w:hideMark/>
          </w:tcPr>
          <w:p w14:paraId="00934BEB"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$254.405</w:t>
            </w:r>
          </w:p>
        </w:tc>
        <w:tc>
          <w:tcPr>
            <w:tcW w:w="0" w:type="auto"/>
            <w:vAlign w:val="center"/>
            <w:hideMark/>
          </w:tcPr>
          <w:p w14:paraId="2DD42940"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$257.099</w:t>
            </w:r>
          </w:p>
        </w:tc>
        <w:tc>
          <w:tcPr>
            <w:tcW w:w="0" w:type="auto"/>
            <w:vAlign w:val="center"/>
            <w:hideMark/>
          </w:tcPr>
          <w:p w14:paraId="3F3F3C8A"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$236.741</w:t>
            </w:r>
          </w:p>
        </w:tc>
        <w:tc>
          <w:tcPr>
            <w:tcW w:w="0" w:type="auto"/>
            <w:vAlign w:val="center"/>
            <w:hideMark/>
          </w:tcPr>
          <w:p w14:paraId="780259A0"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$248.861</w:t>
            </w:r>
          </w:p>
        </w:tc>
        <w:tc>
          <w:tcPr>
            <w:tcW w:w="0" w:type="auto"/>
            <w:vAlign w:val="center"/>
            <w:hideMark/>
          </w:tcPr>
          <w:p w14:paraId="0D354F68"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$242.482</w:t>
            </w:r>
          </w:p>
        </w:tc>
        <w:tc>
          <w:tcPr>
            <w:tcW w:w="0" w:type="auto"/>
            <w:vAlign w:val="center"/>
            <w:hideMark/>
          </w:tcPr>
          <w:p w14:paraId="5133FB0F"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$249.822</w:t>
            </w:r>
          </w:p>
        </w:tc>
        <w:tc>
          <w:tcPr>
            <w:tcW w:w="0" w:type="auto"/>
            <w:vAlign w:val="center"/>
            <w:hideMark/>
          </w:tcPr>
          <w:p w14:paraId="523343B8"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$240.256</w:t>
            </w:r>
          </w:p>
        </w:tc>
        <w:tc>
          <w:tcPr>
            <w:tcW w:w="0" w:type="auto"/>
            <w:vAlign w:val="center"/>
            <w:hideMark/>
          </w:tcPr>
          <w:p w14:paraId="13B9B872"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$254.057</w:t>
            </w:r>
          </w:p>
        </w:tc>
        <w:tc>
          <w:tcPr>
            <w:tcW w:w="0" w:type="auto"/>
            <w:vAlign w:val="center"/>
            <w:hideMark/>
          </w:tcPr>
          <w:p w14:paraId="56E5B5A5"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$237.953</w:t>
            </w:r>
          </w:p>
        </w:tc>
        <w:tc>
          <w:tcPr>
            <w:tcW w:w="0" w:type="auto"/>
            <w:vAlign w:val="center"/>
            <w:hideMark/>
          </w:tcPr>
          <w:p w14:paraId="457658AD"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$195.393</w:t>
            </w:r>
          </w:p>
        </w:tc>
        <w:tc>
          <w:tcPr>
            <w:tcW w:w="0" w:type="auto"/>
            <w:vAlign w:val="center"/>
            <w:hideMark/>
          </w:tcPr>
          <w:p w14:paraId="6834C79A"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$196.375</w:t>
            </w:r>
          </w:p>
        </w:tc>
      </w:tr>
      <w:tr w:rsidR="00242DFB" w:rsidRPr="00242DFB" w14:paraId="5D3E4655" w14:textId="77777777" w:rsidTr="00A177E6">
        <w:trPr>
          <w:trHeight w:val="587"/>
          <w:jc w:val="center"/>
        </w:trPr>
        <w:tc>
          <w:tcPr>
            <w:tcW w:w="1284" w:type="dxa"/>
            <w:vAlign w:val="center"/>
            <w:hideMark/>
          </w:tcPr>
          <w:p w14:paraId="10116E0E" w14:textId="77777777" w:rsidR="00242DFB" w:rsidRPr="00242DFB" w:rsidRDefault="00242DFB" w:rsidP="00A177E6">
            <w:pPr>
              <w:jc w:val="center"/>
              <w:rPr>
                <w:rFonts w:ascii="Arial" w:hAnsi="Arial" w:cs="Arial"/>
                <w:color w:val="000000"/>
                <w:sz w:val="16"/>
                <w:szCs w:val="16"/>
              </w:rPr>
            </w:pPr>
            <w:r w:rsidRPr="00242DFB">
              <w:rPr>
                <w:rFonts w:ascii="Arial" w:hAnsi="Arial" w:cs="Arial"/>
                <w:color w:val="000000"/>
                <w:sz w:val="16"/>
                <w:szCs w:val="16"/>
              </w:rPr>
              <w:t>Cuentas por cobrar</w:t>
            </w:r>
          </w:p>
        </w:tc>
        <w:tc>
          <w:tcPr>
            <w:tcW w:w="0" w:type="auto"/>
            <w:vAlign w:val="center"/>
            <w:hideMark/>
          </w:tcPr>
          <w:p w14:paraId="07B7BD2C"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$75.678</w:t>
            </w:r>
          </w:p>
        </w:tc>
        <w:tc>
          <w:tcPr>
            <w:tcW w:w="0" w:type="auto"/>
            <w:vAlign w:val="center"/>
            <w:hideMark/>
          </w:tcPr>
          <w:p w14:paraId="2EE0E94C"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$78.788</w:t>
            </w:r>
          </w:p>
        </w:tc>
        <w:tc>
          <w:tcPr>
            <w:tcW w:w="0" w:type="auto"/>
            <w:vAlign w:val="center"/>
            <w:hideMark/>
          </w:tcPr>
          <w:p w14:paraId="0562D7D0"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$77.731</w:t>
            </w:r>
          </w:p>
        </w:tc>
        <w:tc>
          <w:tcPr>
            <w:tcW w:w="0" w:type="auto"/>
            <w:vAlign w:val="center"/>
            <w:hideMark/>
          </w:tcPr>
          <w:p w14:paraId="3BFDF9D0"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$79.011</w:t>
            </w:r>
          </w:p>
        </w:tc>
        <w:tc>
          <w:tcPr>
            <w:tcW w:w="0" w:type="auto"/>
            <w:vAlign w:val="center"/>
            <w:hideMark/>
          </w:tcPr>
          <w:p w14:paraId="196583B2"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$75.124</w:t>
            </w:r>
          </w:p>
        </w:tc>
        <w:tc>
          <w:tcPr>
            <w:tcW w:w="0" w:type="auto"/>
            <w:vAlign w:val="center"/>
            <w:hideMark/>
          </w:tcPr>
          <w:p w14:paraId="667A030D"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$97.801</w:t>
            </w:r>
          </w:p>
        </w:tc>
        <w:tc>
          <w:tcPr>
            <w:tcW w:w="0" w:type="auto"/>
            <w:vAlign w:val="center"/>
            <w:hideMark/>
          </w:tcPr>
          <w:p w14:paraId="71D3FD2F"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$109.883</w:t>
            </w:r>
          </w:p>
        </w:tc>
        <w:tc>
          <w:tcPr>
            <w:tcW w:w="0" w:type="auto"/>
            <w:vAlign w:val="center"/>
            <w:hideMark/>
          </w:tcPr>
          <w:p w14:paraId="6CA4F0C1"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$110.251</w:t>
            </w:r>
          </w:p>
        </w:tc>
        <w:tc>
          <w:tcPr>
            <w:tcW w:w="0" w:type="auto"/>
            <w:vAlign w:val="center"/>
            <w:hideMark/>
          </w:tcPr>
          <w:p w14:paraId="0EB4FF8C"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$138.494</w:t>
            </w:r>
          </w:p>
        </w:tc>
        <w:tc>
          <w:tcPr>
            <w:tcW w:w="0" w:type="auto"/>
            <w:vAlign w:val="center"/>
            <w:hideMark/>
          </w:tcPr>
          <w:p w14:paraId="50BC52D5"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$140.172</w:t>
            </w:r>
          </w:p>
        </w:tc>
        <w:tc>
          <w:tcPr>
            <w:tcW w:w="0" w:type="auto"/>
            <w:vAlign w:val="center"/>
            <w:hideMark/>
          </w:tcPr>
          <w:p w14:paraId="63C29F53"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$125.796</w:t>
            </w:r>
          </w:p>
        </w:tc>
        <w:tc>
          <w:tcPr>
            <w:tcW w:w="0" w:type="auto"/>
            <w:vAlign w:val="center"/>
            <w:hideMark/>
          </w:tcPr>
          <w:p w14:paraId="3C672D36"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$124.964</w:t>
            </w:r>
          </w:p>
        </w:tc>
      </w:tr>
      <w:tr w:rsidR="00242DFB" w:rsidRPr="00242DFB" w14:paraId="3AD1FF90" w14:textId="77777777" w:rsidTr="00A177E6">
        <w:trPr>
          <w:trHeight w:val="587"/>
          <w:jc w:val="center"/>
        </w:trPr>
        <w:tc>
          <w:tcPr>
            <w:tcW w:w="1284" w:type="dxa"/>
            <w:vAlign w:val="center"/>
            <w:hideMark/>
          </w:tcPr>
          <w:p w14:paraId="391D234A" w14:textId="77777777" w:rsidR="00242DFB" w:rsidRPr="00242DFB" w:rsidRDefault="00242DFB" w:rsidP="00A177E6">
            <w:pPr>
              <w:jc w:val="center"/>
              <w:rPr>
                <w:rFonts w:ascii="Arial" w:hAnsi="Arial" w:cs="Arial"/>
                <w:color w:val="000000"/>
                <w:sz w:val="16"/>
                <w:szCs w:val="16"/>
              </w:rPr>
            </w:pPr>
            <w:r w:rsidRPr="00242DFB">
              <w:rPr>
                <w:rFonts w:ascii="Arial" w:hAnsi="Arial" w:cs="Arial"/>
                <w:color w:val="000000"/>
                <w:sz w:val="16"/>
                <w:szCs w:val="16"/>
              </w:rPr>
              <w:t>Propiedad, planta y equipo</w:t>
            </w:r>
          </w:p>
        </w:tc>
        <w:tc>
          <w:tcPr>
            <w:tcW w:w="0" w:type="auto"/>
            <w:vAlign w:val="center"/>
            <w:hideMark/>
          </w:tcPr>
          <w:p w14:paraId="2DDFA3C1"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$1.829</w:t>
            </w:r>
          </w:p>
        </w:tc>
        <w:tc>
          <w:tcPr>
            <w:tcW w:w="0" w:type="auto"/>
            <w:vAlign w:val="center"/>
            <w:hideMark/>
          </w:tcPr>
          <w:p w14:paraId="7799DCBB"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$1.807</w:t>
            </w:r>
          </w:p>
        </w:tc>
        <w:tc>
          <w:tcPr>
            <w:tcW w:w="0" w:type="auto"/>
            <w:vAlign w:val="center"/>
            <w:hideMark/>
          </w:tcPr>
          <w:p w14:paraId="64B5E5EC"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$1.820</w:t>
            </w:r>
          </w:p>
        </w:tc>
        <w:tc>
          <w:tcPr>
            <w:tcW w:w="0" w:type="auto"/>
            <w:vAlign w:val="center"/>
            <w:hideMark/>
          </w:tcPr>
          <w:p w14:paraId="31426F78"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$1.824</w:t>
            </w:r>
          </w:p>
        </w:tc>
        <w:tc>
          <w:tcPr>
            <w:tcW w:w="0" w:type="auto"/>
            <w:vAlign w:val="center"/>
            <w:hideMark/>
          </w:tcPr>
          <w:p w14:paraId="5CBB152D"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$1.804</w:t>
            </w:r>
          </w:p>
        </w:tc>
        <w:tc>
          <w:tcPr>
            <w:tcW w:w="0" w:type="auto"/>
            <w:vAlign w:val="center"/>
            <w:hideMark/>
          </w:tcPr>
          <w:p w14:paraId="10283D3C"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$1.780</w:t>
            </w:r>
          </w:p>
        </w:tc>
        <w:tc>
          <w:tcPr>
            <w:tcW w:w="0" w:type="auto"/>
            <w:vAlign w:val="center"/>
            <w:hideMark/>
          </w:tcPr>
          <w:p w14:paraId="72C1F11F"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$1.766</w:t>
            </w:r>
          </w:p>
        </w:tc>
        <w:tc>
          <w:tcPr>
            <w:tcW w:w="0" w:type="auto"/>
            <w:vAlign w:val="center"/>
            <w:hideMark/>
          </w:tcPr>
          <w:p w14:paraId="154C39A9"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$1.744</w:t>
            </w:r>
          </w:p>
        </w:tc>
        <w:tc>
          <w:tcPr>
            <w:tcW w:w="0" w:type="auto"/>
            <w:vAlign w:val="center"/>
            <w:hideMark/>
          </w:tcPr>
          <w:p w14:paraId="284CC490"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$1.787</w:t>
            </w:r>
          </w:p>
        </w:tc>
        <w:tc>
          <w:tcPr>
            <w:tcW w:w="0" w:type="auto"/>
            <w:vAlign w:val="center"/>
            <w:hideMark/>
          </w:tcPr>
          <w:p w14:paraId="241D9CAF"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$1.758</w:t>
            </w:r>
          </w:p>
        </w:tc>
        <w:tc>
          <w:tcPr>
            <w:tcW w:w="0" w:type="auto"/>
            <w:vAlign w:val="center"/>
            <w:hideMark/>
          </w:tcPr>
          <w:p w14:paraId="1F10AD48"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$1.730</w:t>
            </w:r>
          </w:p>
        </w:tc>
        <w:tc>
          <w:tcPr>
            <w:tcW w:w="0" w:type="auto"/>
            <w:vAlign w:val="center"/>
            <w:hideMark/>
          </w:tcPr>
          <w:p w14:paraId="5DD4767A"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$1.701</w:t>
            </w:r>
          </w:p>
        </w:tc>
      </w:tr>
      <w:tr w:rsidR="00242DFB" w:rsidRPr="00242DFB" w14:paraId="39ADFE70" w14:textId="77777777" w:rsidTr="00A177E6">
        <w:trPr>
          <w:trHeight w:val="587"/>
          <w:jc w:val="center"/>
        </w:trPr>
        <w:tc>
          <w:tcPr>
            <w:tcW w:w="1284" w:type="dxa"/>
            <w:vAlign w:val="center"/>
            <w:hideMark/>
          </w:tcPr>
          <w:p w14:paraId="2545F79A" w14:textId="77777777" w:rsidR="00242DFB" w:rsidRPr="00242DFB" w:rsidRDefault="00242DFB" w:rsidP="00A177E6">
            <w:pPr>
              <w:jc w:val="center"/>
              <w:rPr>
                <w:rFonts w:ascii="Arial" w:hAnsi="Arial" w:cs="Arial"/>
                <w:color w:val="000000"/>
                <w:sz w:val="16"/>
                <w:szCs w:val="16"/>
              </w:rPr>
            </w:pPr>
            <w:r w:rsidRPr="00242DFB">
              <w:rPr>
                <w:rFonts w:ascii="Arial" w:hAnsi="Arial" w:cs="Arial"/>
                <w:color w:val="000000"/>
                <w:sz w:val="16"/>
                <w:szCs w:val="16"/>
              </w:rPr>
              <w:t>Avances y anticipos</w:t>
            </w:r>
          </w:p>
        </w:tc>
        <w:tc>
          <w:tcPr>
            <w:tcW w:w="0" w:type="auto"/>
            <w:vAlign w:val="center"/>
            <w:hideMark/>
          </w:tcPr>
          <w:p w14:paraId="0838A2F2"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$37.415</w:t>
            </w:r>
          </w:p>
        </w:tc>
        <w:tc>
          <w:tcPr>
            <w:tcW w:w="0" w:type="auto"/>
            <w:vAlign w:val="center"/>
            <w:hideMark/>
          </w:tcPr>
          <w:p w14:paraId="7FCFC2C6"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$34.142</w:t>
            </w:r>
          </w:p>
        </w:tc>
        <w:tc>
          <w:tcPr>
            <w:tcW w:w="0" w:type="auto"/>
            <w:vAlign w:val="center"/>
            <w:hideMark/>
          </w:tcPr>
          <w:p w14:paraId="60703438"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$28.535</w:t>
            </w:r>
          </w:p>
        </w:tc>
        <w:tc>
          <w:tcPr>
            <w:tcW w:w="0" w:type="auto"/>
            <w:vAlign w:val="center"/>
            <w:hideMark/>
          </w:tcPr>
          <w:p w14:paraId="4B901FC9"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$45.043</w:t>
            </w:r>
          </w:p>
        </w:tc>
        <w:tc>
          <w:tcPr>
            <w:tcW w:w="0" w:type="auto"/>
            <w:vAlign w:val="center"/>
            <w:hideMark/>
          </w:tcPr>
          <w:p w14:paraId="73203AE2"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$29.186</w:t>
            </w:r>
          </w:p>
        </w:tc>
        <w:tc>
          <w:tcPr>
            <w:tcW w:w="0" w:type="auto"/>
            <w:vAlign w:val="center"/>
            <w:hideMark/>
          </w:tcPr>
          <w:p w14:paraId="367FDA47"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$23.108</w:t>
            </w:r>
          </w:p>
        </w:tc>
        <w:tc>
          <w:tcPr>
            <w:tcW w:w="0" w:type="auto"/>
            <w:vAlign w:val="center"/>
            <w:hideMark/>
          </w:tcPr>
          <w:p w14:paraId="61E5981A"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$15.850</w:t>
            </w:r>
          </w:p>
        </w:tc>
        <w:tc>
          <w:tcPr>
            <w:tcW w:w="0" w:type="auto"/>
            <w:vAlign w:val="center"/>
            <w:hideMark/>
          </w:tcPr>
          <w:p w14:paraId="40091422"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$27.548</w:t>
            </w:r>
          </w:p>
        </w:tc>
        <w:tc>
          <w:tcPr>
            <w:tcW w:w="0" w:type="auto"/>
            <w:vAlign w:val="center"/>
            <w:hideMark/>
          </w:tcPr>
          <w:p w14:paraId="37562B67"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$24.292</w:t>
            </w:r>
          </w:p>
        </w:tc>
        <w:tc>
          <w:tcPr>
            <w:tcW w:w="0" w:type="auto"/>
            <w:vAlign w:val="center"/>
            <w:hideMark/>
          </w:tcPr>
          <w:p w14:paraId="7FCBDA18"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$18.670</w:t>
            </w:r>
          </w:p>
        </w:tc>
        <w:tc>
          <w:tcPr>
            <w:tcW w:w="0" w:type="auto"/>
            <w:vAlign w:val="center"/>
            <w:hideMark/>
          </w:tcPr>
          <w:p w14:paraId="4A7AB617"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$37.580</w:t>
            </w:r>
          </w:p>
        </w:tc>
        <w:tc>
          <w:tcPr>
            <w:tcW w:w="0" w:type="auto"/>
            <w:vAlign w:val="center"/>
            <w:hideMark/>
          </w:tcPr>
          <w:p w14:paraId="60A8756F"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$78.271</w:t>
            </w:r>
          </w:p>
        </w:tc>
      </w:tr>
      <w:tr w:rsidR="00242DFB" w:rsidRPr="00242DFB" w14:paraId="22B4E056" w14:textId="77777777" w:rsidTr="00A177E6">
        <w:trPr>
          <w:trHeight w:val="972"/>
          <w:jc w:val="center"/>
        </w:trPr>
        <w:tc>
          <w:tcPr>
            <w:tcW w:w="1284" w:type="dxa"/>
            <w:vAlign w:val="center"/>
            <w:hideMark/>
          </w:tcPr>
          <w:p w14:paraId="6306E3BB" w14:textId="77777777" w:rsidR="00242DFB" w:rsidRPr="00242DFB" w:rsidRDefault="00242DFB" w:rsidP="00A177E6">
            <w:pPr>
              <w:jc w:val="center"/>
              <w:rPr>
                <w:rFonts w:ascii="Arial" w:hAnsi="Arial" w:cs="Arial"/>
                <w:color w:val="000000"/>
                <w:sz w:val="16"/>
                <w:szCs w:val="16"/>
              </w:rPr>
            </w:pPr>
            <w:r w:rsidRPr="00242DFB">
              <w:rPr>
                <w:rFonts w:ascii="Arial" w:hAnsi="Arial" w:cs="Arial"/>
                <w:color w:val="000000"/>
                <w:sz w:val="16"/>
                <w:szCs w:val="16"/>
              </w:rPr>
              <w:t>Depósitos entregados en garantía</w:t>
            </w:r>
          </w:p>
        </w:tc>
        <w:tc>
          <w:tcPr>
            <w:tcW w:w="0" w:type="auto"/>
            <w:vAlign w:val="center"/>
            <w:hideMark/>
          </w:tcPr>
          <w:p w14:paraId="1A5B5CFF"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3E0B50DE"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532A3142"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14B09E4D"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56B5A3F9"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1160638C"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39D7AE67"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224A7645"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1DA7E82C"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4D828ED0"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24ADAF8F"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3634CD4D"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$1.546</w:t>
            </w:r>
          </w:p>
        </w:tc>
      </w:tr>
      <w:tr w:rsidR="00242DFB" w:rsidRPr="00242DFB" w14:paraId="47F97035" w14:textId="77777777" w:rsidTr="00A177E6">
        <w:trPr>
          <w:trHeight w:val="587"/>
          <w:jc w:val="center"/>
        </w:trPr>
        <w:tc>
          <w:tcPr>
            <w:tcW w:w="1284" w:type="dxa"/>
            <w:vAlign w:val="center"/>
            <w:hideMark/>
          </w:tcPr>
          <w:p w14:paraId="100F0329" w14:textId="77777777" w:rsidR="00242DFB" w:rsidRPr="00242DFB" w:rsidRDefault="00242DFB" w:rsidP="00A177E6">
            <w:pPr>
              <w:jc w:val="center"/>
              <w:rPr>
                <w:rFonts w:ascii="Arial" w:hAnsi="Arial" w:cs="Arial"/>
                <w:color w:val="000000"/>
                <w:sz w:val="16"/>
                <w:szCs w:val="16"/>
              </w:rPr>
            </w:pPr>
            <w:r w:rsidRPr="00242DFB">
              <w:rPr>
                <w:rFonts w:ascii="Arial" w:hAnsi="Arial" w:cs="Arial"/>
                <w:color w:val="000000"/>
                <w:sz w:val="16"/>
                <w:szCs w:val="16"/>
              </w:rPr>
              <w:t>Activos intangibles</w:t>
            </w:r>
          </w:p>
        </w:tc>
        <w:tc>
          <w:tcPr>
            <w:tcW w:w="0" w:type="auto"/>
            <w:vAlign w:val="center"/>
            <w:hideMark/>
          </w:tcPr>
          <w:p w14:paraId="2AF8ED0D"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$657</w:t>
            </w:r>
          </w:p>
        </w:tc>
        <w:tc>
          <w:tcPr>
            <w:tcW w:w="0" w:type="auto"/>
            <w:vAlign w:val="center"/>
            <w:hideMark/>
          </w:tcPr>
          <w:p w14:paraId="2AAAC532"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$653</w:t>
            </w:r>
          </w:p>
        </w:tc>
        <w:tc>
          <w:tcPr>
            <w:tcW w:w="0" w:type="auto"/>
            <w:vAlign w:val="center"/>
            <w:hideMark/>
          </w:tcPr>
          <w:p w14:paraId="745BCEDA"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$647</w:t>
            </w:r>
          </w:p>
        </w:tc>
        <w:tc>
          <w:tcPr>
            <w:tcW w:w="0" w:type="auto"/>
            <w:vAlign w:val="center"/>
            <w:hideMark/>
          </w:tcPr>
          <w:p w14:paraId="011B6A2D"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$647</w:t>
            </w:r>
          </w:p>
        </w:tc>
        <w:tc>
          <w:tcPr>
            <w:tcW w:w="0" w:type="auto"/>
            <w:vAlign w:val="center"/>
            <w:hideMark/>
          </w:tcPr>
          <w:p w14:paraId="13C4DFE5"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$647</w:t>
            </w:r>
          </w:p>
        </w:tc>
        <w:tc>
          <w:tcPr>
            <w:tcW w:w="0" w:type="auto"/>
            <w:vAlign w:val="center"/>
            <w:hideMark/>
          </w:tcPr>
          <w:p w14:paraId="02CE19BB"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$647</w:t>
            </w:r>
          </w:p>
        </w:tc>
        <w:tc>
          <w:tcPr>
            <w:tcW w:w="0" w:type="auto"/>
            <w:vAlign w:val="center"/>
            <w:hideMark/>
          </w:tcPr>
          <w:p w14:paraId="37BDC921"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$647</w:t>
            </w:r>
          </w:p>
        </w:tc>
        <w:tc>
          <w:tcPr>
            <w:tcW w:w="0" w:type="auto"/>
            <w:vAlign w:val="center"/>
            <w:hideMark/>
          </w:tcPr>
          <w:p w14:paraId="06D9BCF1"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$647</w:t>
            </w:r>
          </w:p>
        </w:tc>
        <w:tc>
          <w:tcPr>
            <w:tcW w:w="0" w:type="auto"/>
            <w:vAlign w:val="center"/>
            <w:hideMark/>
          </w:tcPr>
          <w:p w14:paraId="6A320FFD"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$647</w:t>
            </w:r>
          </w:p>
        </w:tc>
        <w:tc>
          <w:tcPr>
            <w:tcW w:w="0" w:type="auto"/>
            <w:vAlign w:val="center"/>
            <w:hideMark/>
          </w:tcPr>
          <w:p w14:paraId="1D9C3DB8"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$647</w:t>
            </w:r>
          </w:p>
        </w:tc>
        <w:tc>
          <w:tcPr>
            <w:tcW w:w="0" w:type="auto"/>
            <w:vAlign w:val="center"/>
            <w:hideMark/>
          </w:tcPr>
          <w:p w14:paraId="0DF88966"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$647</w:t>
            </w:r>
          </w:p>
        </w:tc>
        <w:tc>
          <w:tcPr>
            <w:tcW w:w="0" w:type="auto"/>
            <w:vAlign w:val="center"/>
            <w:hideMark/>
          </w:tcPr>
          <w:p w14:paraId="12BBC175"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$647</w:t>
            </w:r>
          </w:p>
        </w:tc>
      </w:tr>
      <w:tr w:rsidR="00242DFB" w:rsidRPr="00242DFB" w14:paraId="3B839CDE" w14:textId="77777777" w:rsidTr="00A177E6">
        <w:trPr>
          <w:trHeight w:val="982"/>
          <w:jc w:val="center"/>
        </w:trPr>
        <w:tc>
          <w:tcPr>
            <w:tcW w:w="1284" w:type="dxa"/>
            <w:vAlign w:val="center"/>
            <w:hideMark/>
          </w:tcPr>
          <w:p w14:paraId="47527EC4" w14:textId="77777777" w:rsidR="00242DFB" w:rsidRPr="00242DFB" w:rsidRDefault="00242DFB" w:rsidP="00A177E6">
            <w:pPr>
              <w:jc w:val="center"/>
              <w:rPr>
                <w:rFonts w:ascii="Arial" w:hAnsi="Arial" w:cs="Arial"/>
                <w:color w:val="000000"/>
                <w:sz w:val="16"/>
                <w:szCs w:val="16"/>
              </w:rPr>
            </w:pPr>
            <w:r w:rsidRPr="00242DFB">
              <w:rPr>
                <w:rFonts w:ascii="Arial" w:hAnsi="Arial" w:cs="Arial"/>
                <w:color w:val="000000"/>
                <w:sz w:val="16"/>
                <w:szCs w:val="16"/>
              </w:rPr>
              <w:t>Activos por impuestos diferidos</w:t>
            </w:r>
          </w:p>
        </w:tc>
        <w:tc>
          <w:tcPr>
            <w:tcW w:w="0" w:type="auto"/>
            <w:vAlign w:val="center"/>
            <w:hideMark/>
          </w:tcPr>
          <w:p w14:paraId="42D5F30E"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24DA2F5D"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6157BD01"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7DFAAE5E"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150058A4"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4955553B"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69B3A77A"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2C2CD481"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4EE122E4"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2E04705A"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7B56F945"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52A5BE55"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$81.616</w:t>
            </w:r>
          </w:p>
        </w:tc>
      </w:tr>
      <w:tr w:rsidR="00242DFB" w:rsidRPr="00242DFB" w14:paraId="0826B5C7" w14:textId="77777777" w:rsidTr="00A177E6">
        <w:trPr>
          <w:trHeight w:val="383"/>
          <w:jc w:val="center"/>
        </w:trPr>
        <w:tc>
          <w:tcPr>
            <w:tcW w:w="1284" w:type="dxa"/>
            <w:vAlign w:val="center"/>
            <w:hideMark/>
          </w:tcPr>
          <w:p w14:paraId="4325D042" w14:textId="4DD8C06C" w:rsidR="00242DFB" w:rsidRPr="00242DFB" w:rsidRDefault="00A177E6" w:rsidP="00A177E6">
            <w:pPr>
              <w:jc w:val="center"/>
              <w:rPr>
                <w:rFonts w:ascii="Arial" w:hAnsi="Arial" w:cs="Arial"/>
                <w:color w:val="000000"/>
                <w:sz w:val="16"/>
                <w:szCs w:val="16"/>
              </w:rPr>
            </w:pPr>
            <w:r w:rsidRPr="00242DFB">
              <w:rPr>
                <w:rFonts w:ascii="Arial" w:hAnsi="Arial" w:cs="Arial"/>
                <w:b/>
                <w:bCs/>
                <w:color w:val="000000"/>
                <w:sz w:val="16"/>
                <w:szCs w:val="16"/>
              </w:rPr>
              <w:t>Total,</w:t>
            </w:r>
            <w:r w:rsidR="00242DFB" w:rsidRPr="00242DFB">
              <w:rPr>
                <w:rFonts w:ascii="Arial" w:hAnsi="Arial" w:cs="Arial"/>
                <w:b/>
                <w:bCs/>
                <w:color w:val="000000"/>
                <w:sz w:val="16"/>
                <w:szCs w:val="16"/>
              </w:rPr>
              <w:t xml:space="preserve"> activos</w:t>
            </w:r>
          </w:p>
        </w:tc>
        <w:tc>
          <w:tcPr>
            <w:tcW w:w="0" w:type="auto"/>
            <w:vAlign w:val="center"/>
            <w:hideMark/>
          </w:tcPr>
          <w:p w14:paraId="1CB34520"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$471.497</w:t>
            </w:r>
          </w:p>
        </w:tc>
        <w:tc>
          <w:tcPr>
            <w:tcW w:w="0" w:type="auto"/>
            <w:vAlign w:val="center"/>
            <w:hideMark/>
          </w:tcPr>
          <w:p w14:paraId="246FAB9A"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$487.810</w:t>
            </w:r>
          </w:p>
        </w:tc>
        <w:tc>
          <w:tcPr>
            <w:tcW w:w="0" w:type="auto"/>
            <w:vAlign w:val="center"/>
            <w:hideMark/>
          </w:tcPr>
          <w:p w14:paraId="6B16F7A7"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$483.847</w:t>
            </w:r>
          </w:p>
        </w:tc>
        <w:tc>
          <w:tcPr>
            <w:tcW w:w="0" w:type="auto"/>
            <w:vAlign w:val="center"/>
            <w:hideMark/>
          </w:tcPr>
          <w:p w14:paraId="6B27B129"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$481.281</w:t>
            </w:r>
          </w:p>
        </w:tc>
        <w:tc>
          <w:tcPr>
            <w:tcW w:w="0" w:type="auto"/>
            <w:vAlign w:val="center"/>
            <w:hideMark/>
          </w:tcPr>
          <w:p w14:paraId="6CC45685"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$473.637</w:t>
            </w:r>
          </w:p>
        </w:tc>
        <w:tc>
          <w:tcPr>
            <w:tcW w:w="0" w:type="auto"/>
            <w:vAlign w:val="center"/>
            <w:hideMark/>
          </w:tcPr>
          <w:p w14:paraId="43382A6C"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$483.833</w:t>
            </w:r>
          </w:p>
        </w:tc>
        <w:tc>
          <w:tcPr>
            <w:tcW w:w="0" w:type="auto"/>
            <w:vAlign w:val="center"/>
            <w:hideMark/>
          </w:tcPr>
          <w:p w14:paraId="5CC03FAF"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$495.983</w:t>
            </w:r>
          </w:p>
        </w:tc>
        <w:tc>
          <w:tcPr>
            <w:tcW w:w="0" w:type="auto"/>
            <w:vAlign w:val="center"/>
            <w:hideMark/>
          </w:tcPr>
          <w:p w14:paraId="5657FD3B"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$498.461</w:t>
            </w:r>
          </w:p>
        </w:tc>
        <w:tc>
          <w:tcPr>
            <w:tcW w:w="0" w:type="auto"/>
            <w:vAlign w:val="center"/>
            <w:hideMark/>
          </w:tcPr>
          <w:p w14:paraId="089AA66A"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$537.292</w:t>
            </w:r>
          </w:p>
        </w:tc>
        <w:tc>
          <w:tcPr>
            <w:tcW w:w="0" w:type="auto"/>
            <w:vAlign w:val="center"/>
            <w:hideMark/>
          </w:tcPr>
          <w:p w14:paraId="2FEEEC27"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$517.215</w:t>
            </w:r>
          </w:p>
        </w:tc>
        <w:tc>
          <w:tcPr>
            <w:tcW w:w="0" w:type="auto"/>
            <w:vAlign w:val="center"/>
            <w:hideMark/>
          </w:tcPr>
          <w:p w14:paraId="7BE65E1E"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$479.161</w:t>
            </w:r>
          </w:p>
        </w:tc>
        <w:tc>
          <w:tcPr>
            <w:tcW w:w="0" w:type="auto"/>
            <w:vAlign w:val="center"/>
            <w:hideMark/>
          </w:tcPr>
          <w:p w14:paraId="4FB5AFD1"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$485.120</w:t>
            </w:r>
          </w:p>
        </w:tc>
      </w:tr>
      <w:tr w:rsidR="00A177E6" w:rsidRPr="00242DFB" w14:paraId="779E8386" w14:textId="77777777" w:rsidTr="00EE0F04">
        <w:trPr>
          <w:trHeight w:val="394"/>
          <w:jc w:val="center"/>
        </w:trPr>
        <w:tc>
          <w:tcPr>
            <w:tcW w:w="11892" w:type="dxa"/>
            <w:gridSpan w:val="13"/>
            <w:vAlign w:val="center"/>
            <w:hideMark/>
          </w:tcPr>
          <w:p w14:paraId="0A659F57" w14:textId="2F47CD28" w:rsidR="00A177E6" w:rsidRPr="00242DFB" w:rsidRDefault="00A177E6" w:rsidP="00A177E6">
            <w:pPr>
              <w:jc w:val="center"/>
              <w:rPr>
                <w:rFonts w:ascii="Arial" w:hAnsi="Arial" w:cs="Arial"/>
                <w:color w:val="000000"/>
                <w:sz w:val="16"/>
                <w:szCs w:val="16"/>
              </w:rPr>
            </w:pPr>
            <w:r w:rsidRPr="00242DFB">
              <w:rPr>
                <w:rFonts w:ascii="Arial" w:hAnsi="Arial" w:cs="Arial"/>
                <w:b/>
                <w:bCs/>
                <w:color w:val="000000"/>
                <w:sz w:val="16"/>
                <w:szCs w:val="16"/>
              </w:rPr>
              <w:t>PASIVOS</w:t>
            </w:r>
          </w:p>
        </w:tc>
      </w:tr>
      <w:tr w:rsidR="00242DFB" w:rsidRPr="00242DFB" w14:paraId="11D2D88A" w14:textId="77777777" w:rsidTr="00A177E6">
        <w:trPr>
          <w:trHeight w:val="972"/>
          <w:jc w:val="center"/>
        </w:trPr>
        <w:tc>
          <w:tcPr>
            <w:tcW w:w="1284" w:type="dxa"/>
            <w:vAlign w:val="center"/>
            <w:hideMark/>
          </w:tcPr>
          <w:p w14:paraId="1728B15B" w14:textId="77777777" w:rsidR="00242DFB" w:rsidRPr="00242DFB" w:rsidRDefault="00242DFB" w:rsidP="00A177E6">
            <w:pPr>
              <w:jc w:val="center"/>
              <w:rPr>
                <w:rFonts w:ascii="Arial" w:hAnsi="Arial" w:cs="Arial"/>
                <w:color w:val="000000"/>
                <w:sz w:val="16"/>
                <w:szCs w:val="16"/>
              </w:rPr>
            </w:pPr>
            <w:r w:rsidRPr="00242DFB">
              <w:rPr>
                <w:rFonts w:ascii="Arial" w:hAnsi="Arial" w:cs="Arial"/>
                <w:color w:val="000000"/>
                <w:sz w:val="16"/>
                <w:szCs w:val="16"/>
              </w:rPr>
              <w:lastRenderedPageBreak/>
              <w:t>Cuentas por pagar proveedores médicos</w:t>
            </w:r>
          </w:p>
        </w:tc>
        <w:tc>
          <w:tcPr>
            <w:tcW w:w="0" w:type="auto"/>
            <w:vAlign w:val="center"/>
            <w:hideMark/>
          </w:tcPr>
          <w:p w14:paraId="0F28A556"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$177.533</w:t>
            </w:r>
          </w:p>
        </w:tc>
        <w:tc>
          <w:tcPr>
            <w:tcW w:w="0" w:type="auto"/>
            <w:vAlign w:val="center"/>
            <w:hideMark/>
          </w:tcPr>
          <w:p w14:paraId="255B8D57"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$222.763</w:t>
            </w:r>
          </w:p>
        </w:tc>
        <w:tc>
          <w:tcPr>
            <w:tcW w:w="0" w:type="auto"/>
            <w:vAlign w:val="center"/>
            <w:hideMark/>
          </w:tcPr>
          <w:p w14:paraId="444A05D1"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$243.607</w:t>
            </w:r>
          </w:p>
        </w:tc>
        <w:tc>
          <w:tcPr>
            <w:tcW w:w="0" w:type="auto"/>
            <w:vAlign w:val="center"/>
            <w:hideMark/>
          </w:tcPr>
          <w:p w14:paraId="66CDFA24"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$234.279</w:t>
            </w:r>
          </w:p>
        </w:tc>
        <w:tc>
          <w:tcPr>
            <w:tcW w:w="0" w:type="auto"/>
            <w:vAlign w:val="center"/>
            <w:hideMark/>
          </w:tcPr>
          <w:p w14:paraId="07022168"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$249.344</w:t>
            </w:r>
          </w:p>
        </w:tc>
        <w:tc>
          <w:tcPr>
            <w:tcW w:w="0" w:type="auto"/>
            <w:vAlign w:val="center"/>
            <w:hideMark/>
          </w:tcPr>
          <w:p w14:paraId="77C83C97"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$256.170</w:t>
            </w:r>
          </w:p>
        </w:tc>
        <w:tc>
          <w:tcPr>
            <w:tcW w:w="0" w:type="auto"/>
            <w:vAlign w:val="center"/>
            <w:hideMark/>
          </w:tcPr>
          <w:p w14:paraId="57C95455"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$280.040</w:t>
            </w:r>
          </w:p>
        </w:tc>
        <w:tc>
          <w:tcPr>
            <w:tcW w:w="0" w:type="auto"/>
            <w:vAlign w:val="center"/>
            <w:hideMark/>
          </w:tcPr>
          <w:p w14:paraId="61B514DF"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$286.533</w:t>
            </w:r>
          </w:p>
        </w:tc>
        <w:tc>
          <w:tcPr>
            <w:tcW w:w="0" w:type="auto"/>
            <w:vAlign w:val="center"/>
            <w:hideMark/>
          </w:tcPr>
          <w:p w14:paraId="7AEEA09A"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$297.480</w:t>
            </w:r>
          </w:p>
        </w:tc>
        <w:tc>
          <w:tcPr>
            <w:tcW w:w="0" w:type="auto"/>
            <w:vAlign w:val="center"/>
            <w:hideMark/>
          </w:tcPr>
          <w:p w14:paraId="2F941BDF"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$292.927</w:t>
            </w:r>
          </w:p>
        </w:tc>
        <w:tc>
          <w:tcPr>
            <w:tcW w:w="0" w:type="auto"/>
            <w:vAlign w:val="center"/>
            <w:hideMark/>
          </w:tcPr>
          <w:p w14:paraId="5FFE1174"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$218.114</w:t>
            </w:r>
          </w:p>
        </w:tc>
        <w:tc>
          <w:tcPr>
            <w:tcW w:w="0" w:type="auto"/>
            <w:vAlign w:val="center"/>
            <w:hideMark/>
          </w:tcPr>
          <w:p w14:paraId="30F06802"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$215.672</w:t>
            </w:r>
          </w:p>
        </w:tc>
      </w:tr>
      <w:tr w:rsidR="00242DFB" w:rsidRPr="00242DFB" w14:paraId="390CAA7D" w14:textId="77777777" w:rsidTr="00A177E6">
        <w:trPr>
          <w:trHeight w:val="789"/>
          <w:jc w:val="center"/>
        </w:trPr>
        <w:tc>
          <w:tcPr>
            <w:tcW w:w="1284" w:type="dxa"/>
            <w:vAlign w:val="center"/>
            <w:hideMark/>
          </w:tcPr>
          <w:p w14:paraId="60C9E85E" w14:textId="77777777" w:rsidR="00242DFB" w:rsidRPr="00242DFB" w:rsidRDefault="00242DFB" w:rsidP="00A177E6">
            <w:pPr>
              <w:jc w:val="center"/>
              <w:rPr>
                <w:rFonts w:ascii="Arial" w:hAnsi="Arial" w:cs="Arial"/>
                <w:color w:val="000000"/>
                <w:sz w:val="16"/>
                <w:szCs w:val="16"/>
              </w:rPr>
            </w:pPr>
            <w:r w:rsidRPr="00242DFB">
              <w:rPr>
                <w:rFonts w:ascii="Arial" w:hAnsi="Arial" w:cs="Arial"/>
                <w:color w:val="000000"/>
                <w:sz w:val="16"/>
                <w:szCs w:val="16"/>
              </w:rPr>
              <w:t>Cuentas por pagar administrativas</w:t>
            </w:r>
          </w:p>
        </w:tc>
        <w:tc>
          <w:tcPr>
            <w:tcW w:w="0" w:type="auto"/>
            <w:vAlign w:val="center"/>
            <w:hideMark/>
          </w:tcPr>
          <w:p w14:paraId="3CE44DDE"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$880</w:t>
            </w:r>
          </w:p>
        </w:tc>
        <w:tc>
          <w:tcPr>
            <w:tcW w:w="0" w:type="auto"/>
            <w:vAlign w:val="center"/>
            <w:hideMark/>
          </w:tcPr>
          <w:p w14:paraId="1D8C10D2"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$813</w:t>
            </w:r>
          </w:p>
        </w:tc>
        <w:tc>
          <w:tcPr>
            <w:tcW w:w="0" w:type="auto"/>
            <w:vAlign w:val="center"/>
            <w:hideMark/>
          </w:tcPr>
          <w:p w14:paraId="216E1398"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$783</w:t>
            </w:r>
          </w:p>
        </w:tc>
        <w:tc>
          <w:tcPr>
            <w:tcW w:w="0" w:type="auto"/>
            <w:vAlign w:val="center"/>
            <w:hideMark/>
          </w:tcPr>
          <w:p w14:paraId="16F276C1"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$608</w:t>
            </w:r>
          </w:p>
        </w:tc>
        <w:tc>
          <w:tcPr>
            <w:tcW w:w="0" w:type="auto"/>
            <w:vAlign w:val="center"/>
            <w:hideMark/>
          </w:tcPr>
          <w:p w14:paraId="6EC276FE"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$875</w:t>
            </w:r>
          </w:p>
        </w:tc>
        <w:tc>
          <w:tcPr>
            <w:tcW w:w="0" w:type="auto"/>
            <w:vAlign w:val="center"/>
            <w:hideMark/>
          </w:tcPr>
          <w:p w14:paraId="355BE6E9"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$552</w:t>
            </w:r>
          </w:p>
        </w:tc>
        <w:tc>
          <w:tcPr>
            <w:tcW w:w="0" w:type="auto"/>
            <w:vAlign w:val="center"/>
            <w:hideMark/>
          </w:tcPr>
          <w:p w14:paraId="21B63D35"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$947</w:t>
            </w:r>
          </w:p>
        </w:tc>
        <w:tc>
          <w:tcPr>
            <w:tcW w:w="0" w:type="auto"/>
            <w:vAlign w:val="center"/>
            <w:hideMark/>
          </w:tcPr>
          <w:p w14:paraId="6756D572"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$1.106</w:t>
            </w:r>
          </w:p>
        </w:tc>
        <w:tc>
          <w:tcPr>
            <w:tcW w:w="0" w:type="auto"/>
            <w:vAlign w:val="center"/>
            <w:hideMark/>
          </w:tcPr>
          <w:p w14:paraId="0947634A"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$942</w:t>
            </w:r>
          </w:p>
        </w:tc>
        <w:tc>
          <w:tcPr>
            <w:tcW w:w="0" w:type="auto"/>
            <w:vAlign w:val="center"/>
            <w:hideMark/>
          </w:tcPr>
          <w:p w14:paraId="12B8BE70"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$756</w:t>
            </w:r>
          </w:p>
        </w:tc>
        <w:tc>
          <w:tcPr>
            <w:tcW w:w="0" w:type="auto"/>
            <w:vAlign w:val="center"/>
            <w:hideMark/>
          </w:tcPr>
          <w:p w14:paraId="546E9D23"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$1.794</w:t>
            </w:r>
          </w:p>
        </w:tc>
        <w:tc>
          <w:tcPr>
            <w:tcW w:w="0" w:type="auto"/>
            <w:vAlign w:val="center"/>
            <w:hideMark/>
          </w:tcPr>
          <w:p w14:paraId="328F2860"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$1.479</w:t>
            </w:r>
          </w:p>
        </w:tc>
      </w:tr>
      <w:tr w:rsidR="00242DFB" w:rsidRPr="00242DFB" w14:paraId="7A5B68EE" w14:textId="77777777" w:rsidTr="00A177E6">
        <w:trPr>
          <w:trHeight w:val="576"/>
          <w:jc w:val="center"/>
        </w:trPr>
        <w:tc>
          <w:tcPr>
            <w:tcW w:w="1284" w:type="dxa"/>
            <w:vAlign w:val="center"/>
            <w:hideMark/>
          </w:tcPr>
          <w:p w14:paraId="35F55F6B" w14:textId="77777777" w:rsidR="00242DFB" w:rsidRPr="00242DFB" w:rsidRDefault="00242DFB" w:rsidP="00A177E6">
            <w:pPr>
              <w:jc w:val="center"/>
              <w:rPr>
                <w:rFonts w:ascii="Arial" w:hAnsi="Arial" w:cs="Arial"/>
                <w:color w:val="000000"/>
                <w:sz w:val="16"/>
                <w:szCs w:val="16"/>
              </w:rPr>
            </w:pPr>
            <w:r w:rsidRPr="00242DFB">
              <w:rPr>
                <w:rFonts w:ascii="Arial" w:hAnsi="Arial" w:cs="Arial"/>
                <w:color w:val="000000"/>
                <w:sz w:val="16"/>
                <w:szCs w:val="16"/>
              </w:rPr>
              <w:t>Otras cuentas por pagar</w:t>
            </w:r>
          </w:p>
        </w:tc>
        <w:tc>
          <w:tcPr>
            <w:tcW w:w="0" w:type="auto"/>
            <w:vAlign w:val="center"/>
            <w:hideMark/>
          </w:tcPr>
          <w:p w14:paraId="215A55D4"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$280</w:t>
            </w:r>
          </w:p>
        </w:tc>
        <w:tc>
          <w:tcPr>
            <w:tcW w:w="0" w:type="auto"/>
            <w:vAlign w:val="center"/>
            <w:hideMark/>
          </w:tcPr>
          <w:p w14:paraId="219B6435"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$729</w:t>
            </w:r>
          </w:p>
        </w:tc>
        <w:tc>
          <w:tcPr>
            <w:tcW w:w="0" w:type="auto"/>
            <w:vAlign w:val="center"/>
            <w:hideMark/>
          </w:tcPr>
          <w:p w14:paraId="616015F3"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$359</w:t>
            </w:r>
          </w:p>
        </w:tc>
        <w:tc>
          <w:tcPr>
            <w:tcW w:w="0" w:type="auto"/>
            <w:vAlign w:val="center"/>
            <w:hideMark/>
          </w:tcPr>
          <w:p w14:paraId="3E36FD2B"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$283</w:t>
            </w:r>
          </w:p>
        </w:tc>
        <w:tc>
          <w:tcPr>
            <w:tcW w:w="0" w:type="auto"/>
            <w:vAlign w:val="center"/>
            <w:hideMark/>
          </w:tcPr>
          <w:p w14:paraId="5E9B380E"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$30</w:t>
            </w:r>
          </w:p>
        </w:tc>
        <w:tc>
          <w:tcPr>
            <w:tcW w:w="0" w:type="auto"/>
            <w:vAlign w:val="center"/>
            <w:hideMark/>
          </w:tcPr>
          <w:p w14:paraId="03C25E56"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$30</w:t>
            </w:r>
          </w:p>
        </w:tc>
        <w:tc>
          <w:tcPr>
            <w:tcW w:w="0" w:type="auto"/>
            <w:vAlign w:val="center"/>
            <w:hideMark/>
          </w:tcPr>
          <w:p w14:paraId="52A9B646"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w:t>
            </w:r>
          </w:p>
        </w:tc>
        <w:tc>
          <w:tcPr>
            <w:tcW w:w="0" w:type="auto"/>
            <w:vAlign w:val="center"/>
            <w:hideMark/>
          </w:tcPr>
          <w:p w14:paraId="53C27BA3"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$138</w:t>
            </w:r>
          </w:p>
        </w:tc>
        <w:tc>
          <w:tcPr>
            <w:tcW w:w="0" w:type="auto"/>
            <w:vAlign w:val="center"/>
            <w:hideMark/>
          </w:tcPr>
          <w:p w14:paraId="670DFEBE"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$222</w:t>
            </w:r>
          </w:p>
        </w:tc>
        <w:tc>
          <w:tcPr>
            <w:tcW w:w="0" w:type="auto"/>
            <w:vAlign w:val="center"/>
            <w:hideMark/>
          </w:tcPr>
          <w:p w14:paraId="1EF2B9C2"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$182</w:t>
            </w:r>
          </w:p>
        </w:tc>
        <w:tc>
          <w:tcPr>
            <w:tcW w:w="0" w:type="auto"/>
            <w:vAlign w:val="center"/>
            <w:hideMark/>
          </w:tcPr>
          <w:p w14:paraId="60CD0F2E"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w:t>
            </w:r>
          </w:p>
        </w:tc>
        <w:tc>
          <w:tcPr>
            <w:tcW w:w="0" w:type="auto"/>
            <w:vAlign w:val="center"/>
            <w:hideMark/>
          </w:tcPr>
          <w:p w14:paraId="35CC5165"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w:t>
            </w:r>
          </w:p>
        </w:tc>
      </w:tr>
      <w:tr w:rsidR="00242DFB" w:rsidRPr="00242DFB" w14:paraId="7045125F" w14:textId="77777777" w:rsidTr="00A177E6">
        <w:trPr>
          <w:trHeight w:val="789"/>
          <w:jc w:val="center"/>
        </w:trPr>
        <w:tc>
          <w:tcPr>
            <w:tcW w:w="1284" w:type="dxa"/>
            <w:vAlign w:val="center"/>
            <w:hideMark/>
          </w:tcPr>
          <w:p w14:paraId="1FD5591D" w14:textId="77777777" w:rsidR="00242DFB" w:rsidRPr="00242DFB" w:rsidRDefault="00242DFB" w:rsidP="00A177E6">
            <w:pPr>
              <w:jc w:val="center"/>
              <w:rPr>
                <w:rFonts w:ascii="Arial" w:hAnsi="Arial" w:cs="Arial"/>
                <w:color w:val="000000"/>
                <w:sz w:val="16"/>
                <w:szCs w:val="16"/>
              </w:rPr>
            </w:pPr>
            <w:r w:rsidRPr="00242DFB">
              <w:rPr>
                <w:rFonts w:ascii="Arial" w:hAnsi="Arial" w:cs="Arial"/>
                <w:color w:val="000000"/>
                <w:sz w:val="16"/>
                <w:szCs w:val="16"/>
              </w:rPr>
              <w:t>Beneficios a empleados</w:t>
            </w:r>
          </w:p>
        </w:tc>
        <w:tc>
          <w:tcPr>
            <w:tcW w:w="0" w:type="auto"/>
            <w:vAlign w:val="center"/>
            <w:hideMark/>
          </w:tcPr>
          <w:p w14:paraId="56C881AE"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$6.933</w:t>
            </w:r>
          </w:p>
        </w:tc>
        <w:tc>
          <w:tcPr>
            <w:tcW w:w="0" w:type="auto"/>
            <w:vAlign w:val="center"/>
            <w:hideMark/>
          </w:tcPr>
          <w:p w14:paraId="6523C960"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$4.315</w:t>
            </w:r>
          </w:p>
        </w:tc>
        <w:tc>
          <w:tcPr>
            <w:tcW w:w="0" w:type="auto"/>
            <w:vAlign w:val="center"/>
            <w:hideMark/>
          </w:tcPr>
          <w:p w14:paraId="28F1478F"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$4.954</w:t>
            </w:r>
          </w:p>
        </w:tc>
        <w:tc>
          <w:tcPr>
            <w:tcW w:w="0" w:type="auto"/>
            <w:vAlign w:val="center"/>
            <w:hideMark/>
          </w:tcPr>
          <w:p w14:paraId="4B531111"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$5.644</w:t>
            </w:r>
          </w:p>
        </w:tc>
        <w:tc>
          <w:tcPr>
            <w:tcW w:w="0" w:type="auto"/>
            <w:vAlign w:val="center"/>
            <w:hideMark/>
          </w:tcPr>
          <w:p w14:paraId="4CC28407"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$6.048</w:t>
            </w:r>
          </w:p>
        </w:tc>
        <w:tc>
          <w:tcPr>
            <w:tcW w:w="0" w:type="auto"/>
            <w:vAlign w:val="center"/>
            <w:hideMark/>
          </w:tcPr>
          <w:p w14:paraId="5D4FEBFD"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$4.931</w:t>
            </w:r>
          </w:p>
        </w:tc>
        <w:tc>
          <w:tcPr>
            <w:tcW w:w="0" w:type="auto"/>
            <w:vAlign w:val="center"/>
            <w:hideMark/>
          </w:tcPr>
          <w:p w14:paraId="5E1D34E1"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$5.432</w:t>
            </w:r>
          </w:p>
        </w:tc>
        <w:tc>
          <w:tcPr>
            <w:tcW w:w="0" w:type="auto"/>
            <w:vAlign w:val="center"/>
            <w:hideMark/>
          </w:tcPr>
          <w:p w14:paraId="21829221"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$6.079</w:t>
            </w:r>
          </w:p>
        </w:tc>
        <w:tc>
          <w:tcPr>
            <w:tcW w:w="0" w:type="auto"/>
            <w:vAlign w:val="center"/>
            <w:hideMark/>
          </w:tcPr>
          <w:p w14:paraId="292CAF2B"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$6.682</w:t>
            </w:r>
          </w:p>
        </w:tc>
        <w:tc>
          <w:tcPr>
            <w:tcW w:w="0" w:type="auto"/>
            <w:vAlign w:val="center"/>
            <w:hideMark/>
          </w:tcPr>
          <w:p w14:paraId="3248BA6C"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$7.283</w:t>
            </w:r>
          </w:p>
        </w:tc>
        <w:tc>
          <w:tcPr>
            <w:tcW w:w="0" w:type="auto"/>
            <w:vAlign w:val="center"/>
            <w:hideMark/>
          </w:tcPr>
          <w:p w14:paraId="2B2484BF"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$7.925</w:t>
            </w:r>
          </w:p>
        </w:tc>
        <w:tc>
          <w:tcPr>
            <w:tcW w:w="0" w:type="auto"/>
            <w:vAlign w:val="center"/>
            <w:hideMark/>
          </w:tcPr>
          <w:p w14:paraId="3305601D"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$6.945</w:t>
            </w:r>
          </w:p>
        </w:tc>
      </w:tr>
      <w:tr w:rsidR="00242DFB" w:rsidRPr="00242DFB" w14:paraId="1FB817BE" w14:textId="77777777" w:rsidTr="00A177E6">
        <w:trPr>
          <w:trHeight w:val="383"/>
          <w:jc w:val="center"/>
        </w:trPr>
        <w:tc>
          <w:tcPr>
            <w:tcW w:w="1284" w:type="dxa"/>
            <w:vAlign w:val="center"/>
            <w:hideMark/>
          </w:tcPr>
          <w:p w14:paraId="24DEBE8D" w14:textId="77777777" w:rsidR="00242DFB" w:rsidRPr="00242DFB" w:rsidRDefault="00242DFB" w:rsidP="00A177E6">
            <w:pPr>
              <w:jc w:val="center"/>
              <w:rPr>
                <w:rFonts w:ascii="Arial" w:hAnsi="Arial" w:cs="Arial"/>
                <w:color w:val="000000"/>
                <w:sz w:val="16"/>
                <w:szCs w:val="16"/>
              </w:rPr>
            </w:pPr>
            <w:r w:rsidRPr="00242DFB">
              <w:rPr>
                <w:rFonts w:ascii="Arial" w:hAnsi="Arial" w:cs="Arial"/>
                <w:color w:val="000000"/>
                <w:sz w:val="16"/>
                <w:szCs w:val="16"/>
              </w:rPr>
              <w:t>Provisiones</w:t>
            </w:r>
          </w:p>
        </w:tc>
        <w:tc>
          <w:tcPr>
            <w:tcW w:w="0" w:type="auto"/>
            <w:vAlign w:val="center"/>
            <w:hideMark/>
          </w:tcPr>
          <w:p w14:paraId="1040DA67"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$217.652</w:t>
            </w:r>
          </w:p>
        </w:tc>
        <w:tc>
          <w:tcPr>
            <w:tcW w:w="0" w:type="auto"/>
            <w:vAlign w:val="center"/>
            <w:hideMark/>
          </w:tcPr>
          <w:p w14:paraId="23075738"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$213.633</w:t>
            </w:r>
          </w:p>
        </w:tc>
        <w:tc>
          <w:tcPr>
            <w:tcW w:w="0" w:type="auto"/>
            <w:vAlign w:val="center"/>
            <w:hideMark/>
          </w:tcPr>
          <w:p w14:paraId="6BA9C2DA"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$198.868</w:t>
            </w:r>
          </w:p>
        </w:tc>
        <w:tc>
          <w:tcPr>
            <w:tcW w:w="0" w:type="auto"/>
            <w:vAlign w:val="center"/>
            <w:hideMark/>
          </w:tcPr>
          <w:p w14:paraId="6AA51848"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$210.635</w:t>
            </w:r>
          </w:p>
        </w:tc>
        <w:tc>
          <w:tcPr>
            <w:tcW w:w="0" w:type="auto"/>
            <w:vAlign w:val="center"/>
            <w:hideMark/>
          </w:tcPr>
          <w:p w14:paraId="5AA1825B"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$213.284</w:t>
            </w:r>
          </w:p>
        </w:tc>
        <w:tc>
          <w:tcPr>
            <w:tcW w:w="0" w:type="auto"/>
            <w:vAlign w:val="center"/>
            <w:hideMark/>
          </w:tcPr>
          <w:p w14:paraId="0112D519"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$197.419</w:t>
            </w:r>
          </w:p>
        </w:tc>
        <w:tc>
          <w:tcPr>
            <w:tcW w:w="0" w:type="auto"/>
            <w:vAlign w:val="center"/>
            <w:hideMark/>
          </w:tcPr>
          <w:p w14:paraId="4A85D31C"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$202.491</w:t>
            </w:r>
          </w:p>
        </w:tc>
        <w:tc>
          <w:tcPr>
            <w:tcW w:w="0" w:type="auto"/>
            <w:vAlign w:val="center"/>
            <w:hideMark/>
          </w:tcPr>
          <w:p w14:paraId="0B00A767"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$203.348</w:t>
            </w:r>
          </w:p>
        </w:tc>
        <w:tc>
          <w:tcPr>
            <w:tcW w:w="0" w:type="auto"/>
            <w:vAlign w:val="center"/>
            <w:hideMark/>
          </w:tcPr>
          <w:p w14:paraId="3322CB46"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$209.182</w:t>
            </w:r>
          </w:p>
        </w:tc>
        <w:tc>
          <w:tcPr>
            <w:tcW w:w="0" w:type="auto"/>
            <w:vAlign w:val="center"/>
            <w:hideMark/>
          </w:tcPr>
          <w:p w14:paraId="58DD0063"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$211.643</w:t>
            </w:r>
          </w:p>
        </w:tc>
        <w:tc>
          <w:tcPr>
            <w:tcW w:w="0" w:type="auto"/>
            <w:vAlign w:val="center"/>
            <w:hideMark/>
          </w:tcPr>
          <w:p w14:paraId="3164CC81"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$223.274</w:t>
            </w:r>
          </w:p>
        </w:tc>
        <w:tc>
          <w:tcPr>
            <w:tcW w:w="0" w:type="auto"/>
            <w:vAlign w:val="center"/>
            <w:hideMark/>
          </w:tcPr>
          <w:p w14:paraId="030631FB"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$241.689</w:t>
            </w:r>
          </w:p>
        </w:tc>
      </w:tr>
      <w:tr w:rsidR="00242DFB" w:rsidRPr="00242DFB" w14:paraId="1C54BAD9" w14:textId="77777777" w:rsidTr="00A177E6">
        <w:trPr>
          <w:trHeight w:val="779"/>
          <w:jc w:val="center"/>
        </w:trPr>
        <w:tc>
          <w:tcPr>
            <w:tcW w:w="1284" w:type="dxa"/>
            <w:vAlign w:val="center"/>
            <w:hideMark/>
          </w:tcPr>
          <w:p w14:paraId="74739848" w14:textId="77777777" w:rsidR="00242DFB" w:rsidRPr="00242DFB" w:rsidRDefault="00242DFB" w:rsidP="00A177E6">
            <w:pPr>
              <w:jc w:val="center"/>
              <w:rPr>
                <w:rFonts w:ascii="Arial" w:hAnsi="Arial" w:cs="Arial"/>
                <w:color w:val="000000"/>
                <w:sz w:val="16"/>
                <w:szCs w:val="16"/>
              </w:rPr>
            </w:pPr>
            <w:r w:rsidRPr="00242DFB">
              <w:rPr>
                <w:rFonts w:ascii="Arial" w:hAnsi="Arial" w:cs="Arial"/>
                <w:color w:val="000000"/>
                <w:sz w:val="16"/>
                <w:szCs w:val="16"/>
              </w:rPr>
              <w:t>Otros pasivos - anticipos recibidos</w:t>
            </w:r>
          </w:p>
        </w:tc>
        <w:tc>
          <w:tcPr>
            <w:tcW w:w="0" w:type="auto"/>
            <w:vAlign w:val="center"/>
            <w:hideMark/>
          </w:tcPr>
          <w:p w14:paraId="11A60536"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29229042"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2E04EAD3"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0DB178FF"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6C7B8808"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5A1E79FD"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5E3ACC14"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10B40E0F"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668C136A"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26D1ABAA"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54B370A6"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02F56C9F"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$24</w:t>
            </w:r>
          </w:p>
        </w:tc>
      </w:tr>
      <w:tr w:rsidR="00242DFB" w:rsidRPr="00242DFB" w14:paraId="0259FB6B" w14:textId="77777777" w:rsidTr="00A177E6">
        <w:trPr>
          <w:trHeight w:val="982"/>
          <w:jc w:val="center"/>
        </w:trPr>
        <w:tc>
          <w:tcPr>
            <w:tcW w:w="1284" w:type="dxa"/>
            <w:vAlign w:val="center"/>
            <w:hideMark/>
          </w:tcPr>
          <w:p w14:paraId="7990DB51" w14:textId="77777777" w:rsidR="00242DFB" w:rsidRPr="00242DFB" w:rsidRDefault="00242DFB" w:rsidP="00A177E6">
            <w:pPr>
              <w:jc w:val="center"/>
              <w:rPr>
                <w:rFonts w:ascii="Arial" w:hAnsi="Arial" w:cs="Arial"/>
                <w:color w:val="000000"/>
                <w:sz w:val="16"/>
                <w:szCs w:val="16"/>
              </w:rPr>
            </w:pPr>
            <w:r w:rsidRPr="00242DFB">
              <w:rPr>
                <w:rFonts w:ascii="Arial" w:hAnsi="Arial" w:cs="Arial"/>
                <w:color w:val="000000"/>
                <w:sz w:val="16"/>
                <w:szCs w:val="16"/>
              </w:rPr>
              <w:t>Pasivos por impuestos diferidos</w:t>
            </w:r>
          </w:p>
        </w:tc>
        <w:tc>
          <w:tcPr>
            <w:tcW w:w="0" w:type="auto"/>
            <w:vAlign w:val="center"/>
            <w:hideMark/>
          </w:tcPr>
          <w:p w14:paraId="453AA404"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$956</w:t>
            </w:r>
          </w:p>
        </w:tc>
        <w:tc>
          <w:tcPr>
            <w:tcW w:w="0" w:type="auto"/>
            <w:vAlign w:val="center"/>
            <w:hideMark/>
          </w:tcPr>
          <w:p w14:paraId="75B31560"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$1.143</w:t>
            </w:r>
          </w:p>
        </w:tc>
        <w:tc>
          <w:tcPr>
            <w:tcW w:w="0" w:type="auto"/>
            <w:vAlign w:val="center"/>
            <w:hideMark/>
          </w:tcPr>
          <w:p w14:paraId="7248019A"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$1.134</w:t>
            </w:r>
          </w:p>
        </w:tc>
        <w:tc>
          <w:tcPr>
            <w:tcW w:w="0" w:type="auto"/>
            <w:vAlign w:val="center"/>
            <w:hideMark/>
          </w:tcPr>
          <w:p w14:paraId="4F72695B"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$853</w:t>
            </w:r>
          </w:p>
        </w:tc>
        <w:tc>
          <w:tcPr>
            <w:tcW w:w="0" w:type="auto"/>
            <w:vAlign w:val="center"/>
            <w:hideMark/>
          </w:tcPr>
          <w:p w14:paraId="73409E00"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$1.038</w:t>
            </w:r>
          </w:p>
        </w:tc>
        <w:tc>
          <w:tcPr>
            <w:tcW w:w="0" w:type="auto"/>
            <w:vAlign w:val="center"/>
            <w:hideMark/>
          </w:tcPr>
          <w:p w14:paraId="10FA4CF4"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$1.107</w:t>
            </w:r>
          </w:p>
        </w:tc>
        <w:tc>
          <w:tcPr>
            <w:tcW w:w="0" w:type="auto"/>
            <w:vAlign w:val="center"/>
            <w:hideMark/>
          </w:tcPr>
          <w:p w14:paraId="6D66F64B"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$1.269</w:t>
            </w:r>
          </w:p>
        </w:tc>
        <w:tc>
          <w:tcPr>
            <w:tcW w:w="0" w:type="auto"/>
            <w:vAlign w:val="center"/>
            <w:hideMark/>
          </w:tcPr>
          <w:p w14:paraId="22038A4B"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$1.029</w:t>
            </w:r>
          </w:p>
        </w:tc>
        <w:tc>
          <w:tcPr>
            <w:tcW w:w="0" w:type="auto"/>
            <w:vAlign w:val="center"/>
            <w:hideMark/>
          </w:tcPr>
          <w:p w14:paraId="7CDD1A36"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$1.024</w:t>
            </w:r>
          </w:p>
        </w:tc>
        <w:tc>
          <w:tcPr>
            <w:tcW w:w="0" w:type="auto"/>
            <w:vAlign w:val="center"/>
            <w:hideMark/>
          </w:tcPr>
          <w:p w14:paraId="494387F2"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$1.237</w:t>
            </w:r>
          </w:p>
        </w:tc>
        <w:tc>
          <w:tcPr>
            <w:tcW w:w="0" w:type="auto"/>
            <w:vAlign w:val="center"/>
            <w:hideMark/>
          </w:tcPr>
          <w:p w14:paraId="3EC33258"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$1.306</w:t>
            </w:r>
          </w:p>
        </w:tc>
        <w:tc>
          <w:tcPr>
            <w:tcW w:w="0" w:type="auto"/>
            <w:vAlign w:val="center"/>
            <w:hideMark/>
          </w:tcPr>
          <w:p w14:paraId="616F353B"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$983</w:t>
            </w:r>
          </w:p>
        </w:tc>
      </w:tr>
      <w:tr w:rsidR="00242DFB" w:rsidRPr="00242DFB" w14:paraId="4715752B" w14:textId="77777777" w:rsidTr="00A177E6">
        <w:trPr>
          <w:trHeight w:val="383"/>
          <w:jc w:val="center"/>
        </w:trPr>
        <w:tc>
          <w:tcPr>
            <w:tcW w:w="1284" w:type="dxa"/>
            <w:vAlign w:val="center"/>
            <w:hideMark/>
          </w:tcPr>
          <w:p w14:paraId="510EE953" w14:textId="3E3D1B85" w:rsidR="00242DFB" w:rsidRPr="00242DFB" w:rsidRDefault="00242DFB" w:rsidP="00A177E6">
            <w:pPr>
              <w:jc w:val="center"/>
              <w:rPr>
                <w:rFonts w:ascii="Arial" w:hAnsi="Arial" w:cs="Arial"/>
                <w:color w:val="000000"/>
                <w:sz w:val="16"/>
                <w:szCs w:val="16"/>
              </w:rPr>
            </w:pPr>
            <w:r w:rsidRPr="00242DFB">
              <w:rPr>
                <w:rFonts w:ascii="Arial" w:hAnsi="Arial" w:cs="Arial"/>
                <w:b/>
                <w:bCs/>
                <w:color w:val="000000"/>
                <w:sz w:val="16"/>
                <w:szCs w:val="16"/>
              </w:rPr>
              <w:t>Total,</w:t>
            </w:r>
            <w:r w:rsidRPr="00242DFB">
              <w:rPr>
                <w:rFonts w:ascii="Arial" w:hAnsi="Arial" w:cs="Arial"/>
                <w:b/>
                <w:bCs/>
                <w:color w:val="000000"/>
                <w:sz w:val="16"/>
                <w:szCs w:val="16"/>
              </w:rPr>
              <w:t xml:space="preserve"> pasivos</w:t>
            </w:r>
          </w:p>
        </w:tc>
        <w:tc>
          <w:tcPr>
            <w:tcW w:w="0" w:type="auto"/>
            <w:vAlign w:val="center"/>
            <w:hideMark/>
          </w:tcPr>
          <w:p w14:paraId="4419EA80"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$404.258</w:t>
            </w:r>
          </w:p>
        </w:tc>
        <w:tc>
          <w:tcPr>
            <w:tcW w:w="0" w:type="auto"/>
            <w:vAlign w:val="center"/>
            <w:hideMark/>
          </w:tcPr>
          <w:p w14:paraId="3145F6B6"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$443.420</w:t>
            </w:r>
          </w:p>
        </w:tc>
        <w:tc>
          <w:tcPr>
            <w:tcW w:w="0" w:type="auto"/>
            <w:vAlign w:val="center"/>
            <w:hideMark/>
          </w:tcPr>
          <w:p w14:paraId="64165F29"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$449.729</w:t>
            </w:r>
          </w:p>
        </w:tc>
        <w:tc>
          <w:tcPr>
            <w:tcW w:w="0" w:type="auto"/>
            <w:vAlign w:val="center"/>
            <w:hideMark/>
          </w:tcPr>
          <w:p w14:paraId="494D86D4"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$452.326</w:t>
            </w:r>
          </w:p>
        </w:tc>
        <w:tc>
          <w:tcPr>
            <w:tcW w:w="0" w:type="auto"/>
            <w:vAlign w:val="center"/>
            <w:hideMark/>
          </w:tcPr>
          <w:p w14:paraId="3E3A522D"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$470.643</w:t>
            </w:r>
          </w:p>
        </w:tc>
        <w:tc>
          <w:tcPr>
            <w:tcW w:w="0" w:type="auto"/>
            <w:vAlign w:val="center"/>
            <w:hideMark/>
          </w:tcPr>
          <w:p w14:paraId="5E6F560C"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$460.233</w:t>
            </w:r>
          </w:p>
        </w:tc>
        <w:tc>
          <w:tcPr>
            <w:tcW w:w="0" w:type="auto"/>
            <w:vAlign w:val="center"/>
            <w:hideMark/>
          </w:tcPr>
          <w:p w14:paraId="7044F20F"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$490.208</w:t>
            </w:r>
          </w:p>
        </w:tc>
        <w:tc>
          <w:tcPr>
            <w:tcW w:w="0" w:type="auto"/>
            <w:vAlign w:val="center"/>
            <w:hideMark/>
          </w:tcPr>
          <w:p w14:paraId="20071247"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$498.257</w:t>
            </w:r>
          </w:p>
        </w:tc>
        <w:tc>
          <w:tcPr>
            <w:tcW w:w="0" w:type="auto"/>
            <w:vAlign w:val="center"/>
            <w:hideMark/>
          </w:tcPr>
          <w:p w14:paraId="4A54E5C4"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$515.556</w:t>
            </w:r>
          </w:p>
        </w:tc>
        <w:tc>
          <w:tcPr>
            <w:tcW w:w="0" w:type="auto"/>
            <w:vAlign w:val="center"/>
            <w:hideMark/>
          </w:tcPr>
          <w:p w14:paraId="35FF5DFB"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$514.052</w:t>
            </w:r>
          </w:p>
        </w:tc>
        <w:tc>
          <w:tcPr>
            <w:tcW w:w="0" w:type="auto"/>
            <w:vAlign w:val="center"/>
            <w:hideMark/>
          </w:tcPr>
          <w:p w14:paraId="20C52E7E"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$452.442</w:t>
            </w:r>
          </w:p>
        </w:tc>
        <w:tc>
          <w:tcPr>
            <w:tcW w:w="0" w:type="auto"/>
            <w:vAlign w:val="center"/>
            <w:hideMark/>
          </w:tcPr>
          <w:p w14:paraId="4795561D"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$466.797</w:t>
            </w:r>
          </w:p>
        </w:tc>
      </w:tr>
      <w:tr w:rsidR="00A177E6" w:rsidRPr="00242DFB" w14:paraId="07507794" w14:textId="77777777" w:rsidTr="00F021CA">
        <w:trPr>
          <w:trHeight w:val="394"/>
          <w:jc w:val="center"/>
        </w:trPr>
        <w:tc>
          <w:tcPr>
            <w:tcW w:w="11892" w:type="dxa"/>
            <w:gridSpan w:val="13"/>
            <w:vAlign w:val="center"/>
            <w:hideMark/>
          </w:tcPr>
          <w:p w14:paraId="665C8B14" w14:textId="7745F337" w:rsidR="00A177E6" w:rsidRPr="00242DFB" w:rsidRDefault="00A177E6" w:rsidP="00A177E6">
            <w:pPr>
              <w:jc w:val="center"/>
              <w:rPr>
                <w:rFonts w:ascii="Arial" w:hAnsi="Arial" w:cs="Arial"/>
                <w:color w:val="000000"/>
                <w:sz w:val="16"/>
                <w:szCs w:val="16"/>
              </w:rPr>
            </w:pPr>
            <w:r w:rsidRPr="00242DFB">
              <w:rPr>
                <w:rFonts w:ascii="Arial" w:hAnsi="Arial" w:cs="Arial"/>
                <w:b/>
                <w:bCs/>
                <w:color w:val="000000"/>
                <w:sz w:val="16"/>
                <w:szCs w:val="16"/>
              </w:rPr>
              <w:t>PATRIMONIO</w:t>
            </w:r>
          </w:p>
        </w:tc>
      </w:tr>
      <w:tr w:rsidR="00242DFB" w:rsidRPr="00242DFB" w14:paraId="23F4CEF7" w14:textId="77777777" w:rsidTr="00A177E6">
        <w:trPr>
          <w:trHeight w:val="587"/>
          <w:jc w:val="center"/>
        </w:trPr>
        <w:tc>
          <w:tcPr>
            <w:tcW w:w="1284" w:type="dxa"/>
            <w:vAlign w:val="center"/>
            <w:hideMark/>
          </w:tcPr>
          <w:p w14:paraId="35081F2A" w14:textId="77777777" w:rsidR="00242DFB" w:rsidRPr="00242DFB" w:rsidRDefault="00242DFB" w:rsidP="00A177E6">
            <w:pPr>
              <w:jc w:val="center"/>
              <w:rPr>
                <w:rFonts w:ascii="Arial" w:hAnsi="Arial" w:cs="Arial"/>
                <w:color w:val="000000"/>
                <w:sz w:val="16"/>
                <w:szCs w:val="16"/>
              </w:rPr>
            </w:pPr>
            <w:r w:rsidRPr="00242DFB">
              <w:rPr>
                <w:rFonts w:ascii="Arial" w:hAnsi="Arial" w:cs="Arial"/>
                <w:color w:val="000000"/>
                <w:sz w:val="16"/>
                <w:szCs w:val="16"/>
              </w:rPr>
              <w:t>Capital suscrito y pagado</w:t>
            </w:r>
          </w:p>
        </w:tc>
        <w:tc>
          <w:tcPr>
            <w:tcW w:w="0" w:type="auto"/>
            <w:vAlign w:val="center"/>
            <w:hideMark/>
          </w:tcPr>
          <w:p w14:paraId="13A06328"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0B08A14B"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652070B8"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28911EB5"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6253D3C1"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44EF7053"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30B4F87E"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29ADD989"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0D7F157E"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5F684981"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3ED8C5AF"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1D24B307"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$664.220</w:t>
            </w:r>
          </w:p>
        </w:tc>
      </w:tr>
      <w:tr w:rsidR="00242DFB" w:rsidRPr="00242DFB" w14:paraId="0866DBBA" w14:textId="77777777" w:rsidTr="00A177E6">
        <w:trPr>
          <w:trHeight w:val="191"/>
          <w:jc w:val="center"/>
        </w:trPr>
        <w:tc>
          <w:tcPr>
            <w:tcW w:w="1284" w:type="dxa"/>
            <w:vAlign w:val="center"/>
            <w:hideMark/>
          </w:tcPr>
          <w:p w14:paraId="01B48EC9" w14:textId="77777777" w:rsidR="00242DFB" w:rsidRPr="00242DFB" w:rsidRDefault="00242DFB" w:rsidP="00A177E6">
            <w:pPr>
              <w:jc w:val="center"/>
              <w:rPr>
                <w:rFonts w:ascii="Arial" w:hAnsi="Arial" w:cs="Arial"/>
                <w:color w:val="000000"/>
                <w:sz w:val="16"/>
                <w:szCs w:val="16"/>
              </w:rPr>
            </w:pPr>
            <w:r w:rsidRPr="00242DFB">
              <w:rPr>
                <w:rFonts w:ascii="Arial" w:hAnsi="Arial" w:cs="Arial"/>
                <w:color w:val="000000"/>
                <w:sz w:val="16"/>
                <w:szCs w:val="16"/>
              </w:rPr>
              <w:t>Reservas</w:t>
            </w:r>
          </w:p>
        </w:tc>
        <w:tc>
          <w:tcPr>
            <w:tcW w:w="0" w:type="auto"/>
            <w:vAlign w:val="center"/>
            <w:hideMark/>
          </w:tcPr>
          <w:p w14:paraId="06D65937"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68293C31"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10F710E4"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714FB100"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1946335B"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352CE255"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15F39A2B"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3D6E1B71"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441FA441"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0CED222A"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004462DA"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5A910482"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$57</w:t>
            </w:r>
          </w:p>
        </w:tc>
      </w:tr>
      <w:tr w:rsidR="00242DFB" w:rsidRPr="00242DFB" w14:paraId="4DFAD14A" w14:textId="77777777" w:rsidTr="00A177E6">
        <w:trPr>
          <w:trHeight w:val="982"/>
          <w:jc w:val="center"/>
        </w:trPr>
        <w:tc>
          <w:tcPr>
            <w:tcW w:w="1284" w:type="dxa"/>
            <w:vAlign w:val="center"/>
            <w:hideMark/>
          </w:tcPr>
          <w:p w14:paraId="6D083107" w14:textId="77777777" w:rsidR="00242DFB" w:rsidRPr="00242DFB" w:rsidRDefault="00242DFB" w:rsidP="00A177E6">
            <w:pPr>
              <w:jc w:val="center"/>
              <w:rPr>
                <w:rFonts w:ascii="Arial" w:hAnsi="Arial" w:cs="Arial"/>
                <w:color w:val="000000"/>
                <w:sz w:val="16"/>
                <w:szCs w:val="16"/>
              </w:rPr>
            </w:pPr>
            <w:r w:rsidRPr="00242DFB">
              <w:rPr>
                <w:rFonts w:ascii="Arial" w:hAnsi="Arial" w:cs="Arial"/>
                <w:color w:val="000000"/>
                <w:sz w:val="16"/>
                <w:szCs w:val="16"/>
              </w:rPr>
              <w:t>Resultados de ejercicios anteriores</w:t>
            </w:r>
          </w:p>
        </w:tc>
        <w:tc>
          <w:tcPr>
            <w:tcW w:w="0" w:type="auto"/>
            <w:vAlign w:val="center"/>
            <w:hideMark/>
          </w:tcPr>
          <w:p w14:paraId="6E4DDE2A"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3C50DE94"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0577AE35"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5B62E3F2"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7BCF99B2"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6648393F"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7BC92230"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6E3198C0"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7FBDEDC4"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34576753"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18239D04"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294B6F55"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-$555.014</w:t>
            </w:r>
          </w:p>
        </w:tc>
      </w:tr>
      <w:tr w:rsidR="00242DFB" w:rsidRPr="00242DFB" w14:paraId="784A4FBA" w14:textId="77777777" w:rsidTr="00A177E6">
        <w:trPr>
          <w:trHeight w:val="587"/>
          <w:jc w:val="center"/>
        </w:trPr>
        <w:tc>
          <w:tcPr>
            <w:tcW w:w="1284" w:type="dxa"/>
            <w:vAlign w:val="center"/>
            <w:hideMark/>
          </w:tcPr>
          <w:p w14:paraId="2A3BF3AD" w14:textId="77777777" w:rsidR="00242DFB" w:rsidRPr="00242DFB" w:rsidRDefault="00242DFB" w:rsidP="00A177E6">
            <w:pPr>
              <w:jc w:val="center"/>
              <w:rPr>
                <w:rFonts w:ascii="Arial" w:hAnsi="Arial" w:cs="Arial"/>
                <w:color w:val="000000"/>
                <w:sz w:val="16"/>
                <w:szCs w:val="16"/>
              </w:rPr>
            </w:pPr>
            <w:r w:rsidRPr="00242DFB">
              <w:rPr>
                <w:rFonts w:ascii="Arial" w:hAnsi="Arial" w:cs="Arial"/>
                <w:color w:val="000000"/>
                <w:sz w:val="16"/>
                <w:szCs w:val="16"/>
              </w:rPr>
              <w:t>Resultados del ejercicio</w:t>
            </w:r>
          </w:p>
        </w:tc>
        <w:tc>
          <w:tcPr>
            <w:tcW w:w="0" w:type="auto"/>
            <w:vAlign w:val="center"/>
            <w:hideMark/>
          </w:tcPr>
          <w:p w14:paraId="59000DFC"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-$42.024</w:t>
            </w:r>
          </w:p>
        </w:tc>
        <w:tc>
          <w:tcPr>
            <w:tcW w:w="0" w:type="auto"/>
            <w:vAlign w:val="center"/>
            <w:hideMark/>
          </w:tcPr>
          <w:p w14:paraId="72256A17"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-$64.873</w:t>
            </w:r>
          </w:p>
        </w:tc>
        <w:tc>
          <w:tcPr>
            <w:tcW w:w="0" w:type="auto"/>
            <w:vAlign w:val="center"/>
            <w:hideMark/>
          </w:tcPr>
          <w:p w14:paraId="2063E3A0"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-$75.145</w:t>
            </w:r>
          </w:p>
        </w:tc>
        <w:tc>
          <w:tcPr>
            <w:tcW w:w="0" w:type="auto"/>
            <w:vAlign w:val="center"/>
            <w:hideMark/>
          </w:tcPr>
          <w:p w14:paraId="332040ED"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-$80.308</w:t>
            </w:r>
          </w:p>
        </w:tc>
        <w:tc>
          <w:tcPr>
            <w:tcW w:w="0" w:type="auto"/>
            <w:vAlign w:val="center"/>
            <w:hideMark/>
          </w:tcPr>
          <w:p w14:paraId="776788BB"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4"/>
                <w:szCs w:val="14"/>
              </w:rPr>
              <w:t>-$106.269</w:t>
            </w:r>
          </w:p>
        </w:tc>
        <w:tc>
          <w:tcPr>
            <w:tcW w:w="0" w:type="auto"/>
            <w:vAlign w:val="center"/>
            <w:hideMark/>
          </w:tcPr>
          <w:p w14:paraId="59F55675"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-$85.663</w:t>
            </w:r>
          </w:p>
        </w:tc>
        <w:tc>
          <w:tcPr>
            <w:tcW w:w="0" w:type="auto"/>
            <w:vAlign w:val="center"/>
            <w:hideMark/>
          </w:tcPr>
          <w:p w14:paraId="3402AF54" w14:textId="77777777" w:rsidR="00242DFB" w:rsidRPr="00242DFB" w:rsidRDefault="00242DFB" w:rsidP="00242DFB">
            <w:pPr>
              <w:jc w:val="both"/>
              <w:rPr>
                <w:rFonts w:ascii="Arial" w:hAnsi="Arial" w:cs="Arial"/>
                <w:color w:val="000000"/>
                <w:sz w:val="14"/>
                <w:szCs w:val="14"/>
              </w:rPr>
            </w:pPr>
            <w:r w:rsidRPr="00242DFB">
              <w:rPr>
                <w:rFonts w:ascii="Arial" w:hAnsi="Arial" w:cs="Arial"/>
                <w:color w:val="000000"/>
                <w:sz w:val="14"/>
                <w:szCs w:val="14"/>
              </w:rPr>
              <w:t>-$103.488</w:t>
            </w:r>
          </w:p>
        </w:tc>
        <w:tc>
          <w:tcPr>
            <w:tcW w:w="0" w:type="auto"/>
            <w:vAlign w:val="center"/>
            <w:hideMark/>
          </w:tcPr>
          <w:p w14:paraId="660D07C6" w14:textId="77777777" w:rsidR="00242DFB" w:rsidRPr="00242DFB" w:rsidRDefault="00242DFB" w:rsidP="00242DFB">
            <w:pPr>
              <w:jc w:val="both"/>
              <w:rPr>
                <w:rFonts w:ascii="Arial" w:hAnsi="Arial" w:cs="Arial"/>
                <w:color w:val="000000"/>
                <w:sz w:val="14"/>
                <w:szCs w:val="14"/>
              </w:rPr>
            </w:pPr>
            <w:r w:rsidRPr="00242DFB">
              <w:rPr>
                <w:rFonts w:ascii="Arial" w:hAnsi="Arial" w:cs="Arial"/>
                <w:color w:val="000000"/>
                <w:sz w:val="14"/>
                <w:szCs w:val="14"/>
              </w:rPr>
              <w:t>-$109.059</w:t>
            </w:r>
          </w:p>
        </w:tc>
        <w:tc>
          <w:tcPr>
            <w:tcW w:w="0" w:type="auto"/>
            <w:vAlign w:val="center"/>
            <w:hideMark/>
          </w:tcPr>
          <w:p w14:paraId="1CF0241A"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-$87.527</w:t>
            </w:r>
          </w:p>
        </w:tc>
        <w:tc>
          <w:tcPr>
            <w:tcW w:w="0" w:type="auto"/>
            <w:vAlign w:val="center"/>
            <w:hideMark/>
          </w:tcPr>
          <w:p w14:paraId="43A5C5DF" w14:textId="77777777" w:rsidR="00242DFB" w:rsidRPr="00242DFB" w:rsidRDefault="00242DFB" w:rsidP="00242DFB">
            <w:pPr>
              <w:jc w:val="both"/>
              <w:rPr>
                <w:rFonts w:ascii="Arial" w:hAnsi="Arial" w:cs="Arial"/>
                <w:color w:val="000000"/>
                <w:sz w:val="14"/>
                <w:szCs w:val="14"/>
              </w:rPr>
            </w:pPr>
            <w:r w:rsidRPr="00242DFB">
              <w:rPr>
                <w:rFonts w:ascii="Arial" w:hAnsi="Arial" w:cs="Arial"/>
                <w:color w:val="000000"/>
                <w:sz w:val="14"/>
                <w:szCs w:val="14"/>
              </w:rPr>
              <w:t>-$106.100</w:t>
            </w:r>
          </w:p>
        </w:tc>
        <w:tc>
          <w:tcPr>
            <w:tcW w:w="0" w:type="auto"/>
            <w:vAlign w:val="center"/>
            <w:hideMark/>
          </w:tcPr>
          <w:p w14:paraId="49A4E057"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-$82.544</w:t>
            </w:r>
          </w:p>
        </w:tc>
        <w:tc>
          <w:tcPr>
            <w:tcW w:w="0" w:type="auto"/>
            <w:vAlign w:val="center"/>
            <w:hideMark/>
          </w:tcPr>
          <w:p w14:paraId="553F4BC3" w14:textId="77777777" w:rsidR="00242DFB" w:rsidRPr="00242DFB" w:rsidRDefault="00242DFB" w:rsidP="00242DFB">
            <w:pPr>
              <w:jc w:val="both"/>
              <w:rPr>
                <w:rFonts w:ascii="Arial" w:hAnsi="Arial" w:cs="Arial"/>
                <w:color w:val="000000"/>
                <w:sz w:val="16"/>
                <w:szCs w:val="16"/>
              </w:rPr>
            </w:pPr>
            <w:r w:rsidRPr="00242DFB">
              <w:rPr>
                <w:rFonts w:ascii="Arial" w:hAnsi="Arial" w:cs="Arial"/>
                <w:color w:val="000000"/>
                <w:sz w:val="16"/>
                <w:szCs w:val="16"/>
              </w:rPr>
              <w:t>-$90.940</w:t>
            </w:r>
          </w:p>
        </w:tc>
      </w:tr>
      <w:tr w:rsidR="00242DFB" w:rsidRPr="00242DFB" w14:paraId="796531E8" w14:textId="77777777" w:rsidTr="00A177E6">
        <w:trPr>
          <w:trHeight w:val="576"/>
          <w:jc w:val="center"/>
        </w:trPr>
        <w:tc>
          <w:tcPr>
            <w:tcW w:w="1284" w:type="dxa"/>
            <w:vAlign w:val="center"/>
            <w:hideMark/>
          </w:tcPr>
          <w:p w14:paraId="55E1953F" w14:textId="7D5D3709" w:rsidR="00242DFB" w:rsidRPr="00242DFB" w:rsidRDefault="00A177E6" w:rsidP="00A177E6">
            <w:pPr>
              <w:jc w:val="center"/>
              <w:rPr>
                <w:rFonts w:ascii="Arial" w:hAnsi="Arial" w:cs="Arial"/>
                <w:color w:val="000000"/>
                <w:sz w:val="16"/>
                <w:szCs w:val="16"/>
              </w:rPr>
            </w:pPr>
            <w:r w:rsidRPr="00242DFB">
              <w:rPr>
                <w:rFonts w:ascii="Arial" w:hAnsi="Arial" w:cs="Arial"/>
                <w:b/>
                <w:bCs/>
                <w:color w:val="000000"/>
                <w:sz w:val="16"/>
                <w:szCs w:val="16"/>
              </w:rPr>
              <w:t>Total,</w:t>
            </w:r>
            <w:r w:rsidR="00242DFB" w:rsidRPr="00242DFB">
              <w:rPr>
                <w:rFonts w:ascii="Arial" w:hAnsi="Arial" w:cs="Arial"/>
                <w:b/>
                <w:bCs/>
                <w:color w:val="000000"/>
                <w:sz w:val="16"/>
                <w:szCs w:val="16"/>
              </w:rPr>
              <w:t xml:space="preserve"> patrimonio</w:t>
            </w:r>
          </w:p>
        </w:tc>
        <w:tc>
          <w:tcPr>
            <w:tcW w:w="0" w:type="auto"/>
            <w:vAlign w:val="center"/>
            <w:hideMark/>
          </w:tcPr>
          <w:p w14:paraId="4A276355"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$67.239</w:t>
            </w:r>
          </w:p>
        </w:tc>
        <w:tc>
          <w:tcPr>
            <w:tcW w:w="0" w:type="auto"/>
            <w:vAlign w:val="center"/>
            <w:hideMark/>
          </w:tcPr>
          <w:p w14:paraId="641A9EBA"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$44.390</w:t>
            </w:r>
          </w:p>
        </w:tc>
        <w:tc>
          <w:tcPr>
            <w:tcW w:w="0" w:type="auto"/>
            <w:vAlign w:val="center"/>
            <w:hideMark/>
          </w:tcPr>
          <w:p w14:paraId="6C482028"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$34.118</w:t>
            </w:r>
          </w:p>
        </w:tc>
        <w:tc>
          <w:tcPr>
            <w:tcW w:w="0" w:type="auto"/>
            <w:vAlign w:val="center"/>
            <w:hideMark/>
          </w:tcPr>
          <w:p w14:paraId="26068F86"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$28.955</w:t>
            </w:r>
          </w:p>
        </w:tc>
        <w:tc>
          <w:tcPr>
            <w:tcW w:w="0" w:type="auto"/>
            <w:vAlign w:val="center"/>
            <w:hideMark/>
          </w:tcPr>
          <w:p w14:paraId="64BCDE38"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$2.994</w:t>
            </w:r>
          </w:p>
        </w:tc>
        <w:tc>
          <w:tcPr>
            <w:tcW w:w="0" w:type="auto"/>
            <w:vAlign w:val="center"/>
            <w:hideMark/>
          </w:tcPr>
          <w:p w14:paraId="3CA602AE"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$23.600</w:t>
            </w:r>
          </w:p>
        </w:tc>
        <w:tc>
          <w:tcPr>
            <w:tcW w:w="0" w:type="auto"/>
            <w:vAlign w:val="center"/>
            <w:hideMark/>
          </w:tcPr>
          <w:p w14:paraId="47C19C1C"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$5.775</w:t>
            </w:r>
          </w:p>
        </w:tc>
        <w:tc>
          <w:tcPr>
            <w:tcW w:w="0" w:type="auto"/>
            <w:vAlign w:val="center"/>
            <w:hideMark/>
          </w:tcPr>
          <w:p w14:paraId="698EC246"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$204</w:t>
            </w:r>
          </w:p>
        </w:tc>
        <w:tc>
          <w:tcPr>
            <w:tcW w:w="0" w:type="auto"/>
            <w:vAlign w:val="center"/>
            <w:hideMark/>
          </w:tcPr>
          <w:p w14:paraId="24BFEB0C"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$21.736</w:t>
            </w:r>
          </w:p>
        </w:tc>
        <w:tc>
          <w:tcPr>
            <w:tcW w:w="0" w:type="auto"/>
            <w:vAlign w:val="center"/>
            <w:hideMark/>
          </w:tcPr>
          <w:p w14:paraId="71A8E93F"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$3.163</w:t>
            </w:r>
          </w:p>
        </w:tc>
        <w:tc>
          <w:tcPr>
            <w:tcW w:w="0" w:type="auto"/>
            <w:vAlign w:val="center"/>
            <w:hideMark/>
          </w:tcPr>
          <w:p w14:paraId="7809176F"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$26.719</w:t>
            </w:r>
          </w:p>
        </w:tc>
        <w:tc>
          <w:tcPr>
            <w:tcW w:w="0" w:type="auto"/>
            <w:vAlign w:val="center"/>
            <w:hideMark/>
          </w:tcPr>
          <w:p w14:paraId="0FD4FFC7"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$18.323</w:t>
            </w:r>
          </w:p>
        </w:tc>
      </w:tr>
      <w:tr w:rsidR="00242DFB" w:rsidRPr="00242DFB" w14:paraId="0881442E" w14:textId="77777777" w:rsidTr="00A177E6">
        <w:trPr>
          <w:trHeight w:val="48"/>
          <w:jc w:val="center"/>
        </w:trPr>
        <w:tc>
          <w:tcPr>
            <w:tcW w:w="1284" w:type="dxa"/>
            <w:vAlign w:val="center"/>
            <w:hideMark/>
          </w:tcPr>
          <w:p w14:paraId="3A388F76" w14:textId="55C5BA19" w:rsidR="00242DFB" w:rsidRPr="00242DFB" w:rsidRDefault="00A177E6" w:rsidP="00A177E6">
            <w:pPr>
              <w:jc w:val="center"/>
              <w:rPr>
                <w:rFonts w:ascii="Arial" w:hAnsi="Arial" w:cs="Arial"/>
                <w:color w:val="000000"/>
                <w:sz w:val="16"/>
                <w:szCs w:val="16"/>
              </w:rPr>
            </w:pPr>
            <w:r w:rsidRPr="00242DFB">
              <w:rPr>
                <w:rFonts w:ascii="Arial" w:hAnsi="Arial" w:cs="Arial"/>
                <w:b/>
                <w:bCs/>
                <w:color w:val="000000"/>
                <w:sz w:val="16"/>
                <w:szCs w:val="16"/>
              </w:rPr>
              <w:t>Total,</w:t>
            </w:r>
            <w:r w:rsidR="00242DFB" w:rsidRPr="00242DFB">
              <w:rPr>
                <w:rFonts w:ascii="Arial" w:hAnsi="Arial" w:cs="Arial"/>
                <w:b/>
                <w:bCs/>
                <w:color w:val="000000"/>
                <w:sz w:val="16"/>
                <w:szCs w:val="16"/>
              </w:rPr>
              <w:t xml:space="preserve"> pasivo y patrimonio</w:t>
            </w:r>
          </w:p>
        </w:tc>
        <w:tc>
          <w:tcPr>
            <w:tcW w:w="0" w:type="auto"/>
            <w:vAlign w:val="center"/>
            <w:hideMark/>
          </w:tcPr>
          <w:p w14:paraId="26E47736"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$471.497</w:t>
            </w:r>
          </w:p>
        </w:tc>
        <w:tc>
          <w:tcPr>
            <w:tcW w:w="0" w:type="auto"/>
            <w:vAlign w:val="center"/>
            <w:hideMark/>
          </w:tcPr>
          <w:p w14:paraId="25BE2830"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$487.810</w:t>
            </w:r>
          </w:p>
        </w:tc>
        <w:tc>
          <w:tcPr>
            <w:tcW w:w="0" w:type="auto"/>
            <w:vAlign w:val="center"/>
            <w:hideMark/>
          </w:tcPr>
          <w:p w14:paraId="0B187D8D"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$483.847</w:t>
            </w:r>
          </w:p>
        </w:tc>
        <w:tc>
          <w:tcPr>
            <w:tcW w:w="0" w:type="auto"/>
            <w:vAlign w:val="center"/>
            <w:hideMark/>
          </w:tcPr>
          <w:p w14:paraId="459541F8"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$481.281</w:t>
            </w:r>
          </w:p>
        </w:tc>
        <w:tc>
          <w:tcPr>
            <w:tcW w:w="0" w:type="auto"/>
            <w:vAlign w:val="center"/>
            <w:hideMark/>
          </w:tcPr>
          <w:p w14:paraId="0A10A655"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$473.637</w:t>
            </w:r>
          </w:p>
        </w:tc>
        <w:tc>
          <w:tcPr>
            <w:tcW w:w="0" w:type="auto"/>
            <w:vAlign w:val="center"/>
            <w:hideMark/>
          </w:tcPr>
          <w:p w14:paraId="3BC9B92F"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$483.833</w:t>
            </w:r>
          </w:p>
        </w:tc>
        <w:tc>
          <w:tcPr>
            <w:tcW w:w="0" w:type="auto"/>
            <w:vAlign w:val="center"/>
            <w:hideMark/>
          </w:tcPr>
          <w:p w14:paraId="44D223A7"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$495.983</w:t>
            </w:r>
          </w:p>
        </w:tc>
        <w:tc>
          <w:tcPr>
            <w:tcW w:w="0" w:type="auto"/>
            <w:vAlign w:val="center"/>
            <w:hideMark/>
          </w:tcPr>
          <w:p w14:paraId="4CAEA6DE"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$498.461</w:t>
            </w:r>
          </w:p>
        </w:tc>
        <w:tc>
          <w:tcPr>
            <w:tcW w:w="0" w:type="auto"/>
            <w:vAlign w:val="center"/>
            <w:hideMark/>
          </w:tcPr>
          <w:p w14:paraId="63446D63"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$537.292</w:t>
            </w:r>
          </w:p>
        </w:tc>
        <w:tc>
          <w:tcPr>
            <w:tcW w:w="0" w:type="auto"/>
            <w:vAlign w:val="center"/>
            <w:hideMark/>
          </w:tcPr>
          <w:p w14:paraId="53254787"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$517.215</w:t>
            </w:r>
          </w:p>
        </w:tc>
        <w:tc>
          <w:tcPr>
            <w:tcW w:w="0" w:type="auto"/>
            <w:vAlign w:val="center"/>
            <w:hideMark/>
          </w:tcPr>
          <w:p w14:paraId="5835FAB5"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$479.161</w:t>
            </w:r>
          </w:p>
        </w:tc>
        <w:tc>
          <w:tcPr>
            <w:tcW w:w="0" w:type="auto"/>
            <w:vAlign w:val="center"/>
            <w:hideMark/>
          </w:tcPr>
          <w:p w14:paraId="29DFC47A" w14:textId="77777777" w:rsidR="00242DFB" w:rsidRPr="00242DFB" w:rsidRDefault="00242DFB" w:rsidP="00242DFB">
            <w:pPr>
              <w:jc w:val="both"/>
              <w:rPr>
                <w:rFonts w:ascii="Arial" w:hAnsi="Arial" w:cs="Arial"/>
                <w:color w:val="000000"/>
                <w:sz w:val="16"/>
                <w:szCs w:val="16"/>
              </w:rPr>
            </w:pPr>
            <w:r w:rsidRPr="00242DFB">
              <w:rPr>
                <w:rFonts w:ascii="Arial" w:hAnsi="Arial" w:cs="Arial"/>
                <w:b/>
                <w:bCs/>
                <w:color w:val="000000"/>
                <w:sz w:val="16"/>
                <w:szCs w:val="16"/>
              </w:rPr>
              <w:t>$485.120</w:t>
            </w:r>
          </w:p>
        </w:tc>
      </w:tr>
    </w:tbl>
    <w:p w14:paraId="09BD29E5" w14:textId="41FDF76D" w:rsidR="009F762E" w:rsidRDefault="00000000" w:rsidP="00AD7403">
      <w:pPr>
        <w:spacing w:line="360" w:lineRule="auto"/>
        <w:jc w:val="both"/>
        <w:rPr>
          <w:rFonts w:ascii="Arial" w:hAnsi="Arial" w:cs="Arial"/>
          <w:color w:val="000000"/>
          <w:sz w:val="16"/>
          <w:szCs w:val="16"/>
        </w:rPr>
      </w:pPr>
      <w:r w:rsidRPr="00AD7403">
        <w:rPr>
          <w:rFonts w:ascii="Arial" w:hAnsi="Arial" w:cs="Arial"/>
          <w:color w:val="000000"/>
          <w:sz w:val="16"/>
          <w:szCs w:val="16"/>
        </w:rPr>
        <w:t xml:space="preserve">Fuente:  Formato FT001 – Información financiera reportada (corte enero a diciembre 2025). </w:t>
      </w:r>
      <w:hyperlink r:id="rId23" w:history="1">
        <w:r w:rsidR="00AD7403" w:rsidRPr="009E51C5">
          <w:rPr>
            <w:rStyle w:val="Hipervnculo"/>
            <w:rFonts w:ascii="Arial" w:hAnsi="Arial" w:cs="Arial"/>
            <w:sz w:val="16"/>
            <w:szCs w:val="16"/>
          </w:rPr>
          <w:t>https://mapas.supersalud.gov.co/arcgisportal/apps/sites/#/datos-abiertos/search?groupIds=9a4d8d6e18a94ad4a633ef878e6c638d&amp;q=2025</w:t>
        </w:r>
      </w:hyperlink>
    </w:p>
    <w:p w14:paraId="38FCFB94" w14:textId="77777777" w:rsidR="009F762E" w:rsidRPr="00242DFB" w:rsidRDefault="009F762E" w:rsidP="002A0E52">
      <w:pPr>
        <w:spacing w:line="360" w:lineRule="auto"/>
        <w:jc w:val="both"/>
        <w:rPr>
          <w:rFonts w:ascii="Arial" w:eastAsia="Arial" w:hAnsi="Arial" w:cs="Arial"/>
          <w:color w:val="000000" w:themeColor="text1"/>
        </w:rPr>
      </w:pPr>
    </w:p>
    <w:p w14:paraId="0F13560A" w14:textId="77777777" w:rsidR="00E319E1" w:rsidRDefault="00E319E1" w:rsidP="00E319E1">
      <w:pPr>
        <w:spacing w:line="360" w:lineRule="auto"/>
        <w:jc w:val="both"/>
        <w:rPr>
          <w:rFonts w:ascii="Arial" w:eastAsia="Arial" w:hAnsi="Arial" w:cs="Arial"/>
          <w:color w:val="000000" w:themeColor="text1"/>
        </w:rPr>
      </w:pPr>
      <w:r w:rsidRPr="00E319E1">
        <w:rPr>
          <w:rFonts w:ascii="Arial" w:eastAsia="Arial" w:hAnsi="Arial" w:cs="Arial"/>
          <w:color w:val="000000" w:themeColor="text1"/>
        </w:rPr>
        <w:t xml:space="preserve">Durante el periodo enero-diciembre de 2025, los activos totales de Capital Salud EPS-S pasaron de $471.497 millones en enero a $485.120 millones en diciembre, lo que representa un incremento neto de $13.623 millones, equivalente a una variación aproximada del 2,9%. Aunque el crecimiento del activo total es moderado, </w:t>
      </w:r>
      <w:r w:rsidRPr="00E319E1">
        <w:rPr>
          <w:rFonts w:ascii="Arial" w:eastAsia="Arial" w:hAnsi="Arial" w:cs="Arial"/>
          <w:color w:val="000000" w:themeColor="text1"/>
        </w:rPr>
        <w:lastRenderedPageBreak/>
        <w:t>la composición interna evidencia cambios relevantes en la calidad y disponibilidad de los recursos de la entidad.</w:t>
      </w:r>
    </w:p>
    <w:p w14:paraId="4EA4B595" w14:textId="77777777" w:rsidR="00E319E1" w:rsidRPr="00E319E1" w:rsidRDefault="00E319E1" w:rsidP="00E319E1">
      <w:pPr>
        <w:spacing w:line="360" w:lineRule="auto"/>
        <w:jc w:val="both"/>
        <w:rPr>
          <w:rFonts w:ascii="Arial" w:eastAsia="Arial" w:hAnsi="Arial" w:cs="Arial"/>
          <w:color w:val="000000" w:themeColor="text1"/>
        </w:rPr>
      </w:pPr>
    </w:p>
    <w:p w14:paraId="73D87620" w14:textId="77777777" w:rsidR="00E319E1" w:rsidRDefault="00E319E1" w:rsidP="00E319E1">
      <w:pPr>
        <w:spacing w:line="360" w:lineRule="auto"/>
        <w:jc w:val="both"/>
        <w:rPr>
          <w:rFonts w:ascii="Arial" w:eastAsia="Arial" w:hAnsi="Arial" w:cs="Arial"/>
          <w:color w:val="000000" w:themeColor="text1"/>
        </w:rPr>
      </w:pPr>
      <w:r w:rsidRPr="00E319E1">
        <w:rPr>
          <w:rFonts w:ascii="Arial" w:eastAsia="Arial" w:hAnsi="Arial" w:cs="Arial"/>
          <w:color w:val="000000" w:themeColor="text1"/>
        </w:rPr>
        <w:t>El principal incremento se observa en las cuentas por cobrar, que pasaron de $75.678 millones en enero a $124.964 millones en diciembre, con una variación de $49.286 millones, equivalente a un aumento aproximado del 65,1%. Este comportamiento indica una mayor concentración de recursos en derechos de cobro, lo cual puede representar presión sobre la liquidez si dichos saldos no se recuperan oportunamente. De manera paralela, los avances y anticipos aumentaron de $37.415 millones a $78.271 millones, con una variación de $40.856 millones, lo que también incrementa la participación de activos cuya recuperación, legalización o aplicación depende de procesos posteriores.</w:t>
      </w:r>
    </w:p>
    <w:p w14:paraId="12E559EB" w14:textId="77777777" w:rsidR="00E319E1" w:rsidRPr="00E319E1" w:rsidRDefault="00E319E1" w:rsidP="00E319E1">
      <w:pPr>
        <w:spacing w:line="360" w:lineRule="auto"/>
        <w:jc w:val="both"/>
        <w:rPr>
          <w:rFonts w:ascii="Arial" w:eastAsia="Arial" w:hAnsi="Arial" w:cs="Arial"/>
          <w:color w:val="000000" w:themeColor="text1"/>
        </w:rPr>
      </w:pPr>
    </w:p>
    <w:p w14:paraId="5238A82E" w14:textId="77777777" w:rsidR="00E319E1" w:rsidRDefault="00E319E1" w:rsidP="00E319E1">
      <w:pPr>
        <w:spacing w:line="360" w:lineRule="auto"/>
        <w:jc w:val="both"/>
        <w:rPr>
          <w:rFonts w:ascii="Arial" w:eastAsia="Arial" w:hAnsi="Arial" w:cs="Arial"/>
          <w:color w:val="000000" w:themeColor="text1"/>
        </w:rPr>
      </w:pPr>
      <w:r w:rsidRPr="00E319E1">
        <w:rPr>
          <w:rFonts w:ascii="Arial" w:eastAsia="Arial" w:hAnsi="Arial" w:cs="Arial"/>
          <w:color w:val="000000" w:themeColor="text1"/>
        </w:rPr>
        <w:t>En contraste, el efectivo y equivalentes al efectivo disminuyó de $237.903 millones en enero a $196.375 millones en diciembre, con una reducción de $41.528 millones, equivalente a una caída aproximada del 17,5%. Este resultado refleja una menor disponibilidad inmediata de recursos líquidos al cierre del periodo. Adicionalmente, los activos por impuestos diferidos disminuyeron de $116.469 millones a $81.616 millones, lo que contribuye a moderar el crecimiento total del activo. En conjunto, la estructura del activo muestra una transición desde recursos líquidos hacia cuentas por cobrar y anticipos, situación que exige seguimiento a la recuperabilidad, depuración y trazabilidad de estos saldos.</w:t>
      </w:r>
    </w:p>
    <w:p w14:paraId="26B1E9AC" w14:textId="77777777" w:rsidR="00E319E1" w:rsidRPr="00E319E1" w:rsidRDefault="00E319E1" w:rsidP="00E319E1">
      <w:pPr>
        <w:spacing w:line="360" w:lineRule="auto"/>
        <w:jc w:val="both"/>
        <w:rPr>
          <w:rFonts w:ascii="Arial" w:eastAsia="Arial" w:hAnsi="Arial" w:cs="Arial"/>
          <w:color w:val="000000" w:themeColor="text1"/>
        </w:rPr>
      </w:pPr>
    </w:p>
    <w:p w14:paraId="6298BE9B" w14:textId="77777777" w:rsidR="00E319E1" w:rsidRDefault="00E319E1" w:rsidP="00E319E1">
      <w:pPr>
        <w:spacing w:line="360" w:lineRule="auto"/>
        <w:jc w:val="both"/>
        <w:rPr>
          <w:rFonts w:ascii="Arial" w:eastAsia="Arial" w:hAnsi="Arial" w:cs="Arial"/>
          <w:color w:val="000000" w:themeColor="text1"/>
        </w:rPr>
      </w:pPr>
      <w:r w:rsidRPr="00E319E1">
        <w:rPr>
          <w:rFonts w:ascii="Arial" w:eastAsia="Arial" w:hAnsi="Arial" w:cs="Arial"/>
          <w:color w:val="000000" w:themeColor="text1"/>
        </w:rPr>
        <w:t>Por el lado de la estructura financiera, los pasivos totales aumentaron de $404.258 millones en enero a $466.797 millones en diciembre de 2025, con una variación de $62.539 millones, equivalente a un incremento aproximado del 15,5%. Este crecimiento fue significativamente superior al observado en los activos, lo que evidencia un mayor nivel de apalancamiento financiero y una presión creciente sobre la estructura patrimonial de la EPS.</w:t>
      </w:r>
    </w:p>
    <w:p w14:paraId="423AD97E" w14:textId="77777777" w:rsidR="00E319E1" w:rsidRPr="00E319E1" w:rsidRDefault="00E319E1" w:rsidP="00E319E1">
      <w:pPr>
        <w:spacing w:line="360" w:lineRule="auto"/>
        <w:jc w:val="both"/>
        <w:rPr>
          <w:rFonts w:ascii="Arial" w:eastAsia="Arial" w:hAnsi="Arial" w:cs="Arial"/>
          <w:color w:val="000000" w:themeColor="text1"/>
        </w:rPr>
      </w:pPr>
    </w:p>
    <w:p w14:paraId="0FD8E381" w14:textId="77777777" w:rsidR="00594335" w:rsidRDefault="00E319E1" w:rsidP="00E319E1">
      <w:pPr>
        <w:spacing w:line="360" w:lineRule="auto"/>
        <w:jc w:val="both"/>
        <w:rPr>
          <w:rFonts w:ascii="Arial" w:eastAsia="Arial" w:hAnsi="Arial" w:cs="Arial"/>
          <w:color w:val="000000" w:themeColor="text1"/>
        </w:rPr>
      </w:pPr>
      <w:r w:rsidRPr="00E319E1">
        <w:rPr>
          <w:rFonts w:ascii="Arial" w:eastAsia="Arial" w:hAnsi="Arial" w:cs="Arial"/>
          <w:color w:val="000000" w:themeColor="text1"/>
        </w:rPr>
        <w:lastRenderedPageBreak/>
        <w:t xml:space="preserve">Dentro del pasivo, las cuentas por pagar a proveedores médicos pasaron de $177.533 millones a $215.672 millones, con un aumento de $38.139 millones, equivalente a 21,5%. Este comportamiento es relevante por tratarse de obligaciones asociadas directamente con la red prestadora de servicios de salud, por lo que su crecimiento puede afectar la relación con prestadores, la oportunidad de pagos, la continuidad contractual y la disponibilidad efectiva de servicios para la población afiliada. </w:t>
      </w:r>
    </w:p>
    <w:p w14:paraId="239D4BFD" w14:textId="77777777" w:rsidR="00594335" w:rsidRDefault="00594335" w:rsidP="00E319E1">
      <w:pPr>
        <w:spacing w:line="360" w:lineRule="auto"/>
        <w:jc w:val="both"/>
        <w:rPr>
          <w:rFonts w:ascii="Arial" w:eastAsia="Arial" w:hAnsi="Arial" w:cs="Arial"/>
          <w:color w:val="000000" w:themeColor="text1"/>
        </w:rPr>
      </w:pPr>
    </w:p>
    <w:p w14:paraId="4569B22C" w14:textId="0DD37ACF" w:rsidR="00E319E1" w:rsidRDefault="00E319E1" w:rsidP="00E319E1">
      <w:pPr>
        <w:spacing w:line="360" w:lineRule="auto"/>
        <w:jc w:val="both"/>
        <w:rPr>
          <w:rFonts w:ascii="Arial" w:eastAsia="Arial" w:hAnsi="Arial" w:cs="Arial"/>
          <w:color w:val="000000" w:themeColor="text1"/>
        </w:rPr>
      </w:pPr>
      <w:r w:rsidRPr="00E319E1">
        <w:rPr>
          <w:rFonts w:ascii="Arial" w:eastAsia="Arial" w:hAnsi="Arial" w:cs="Arial"/>
          <w:color w:val="000000" w:themeColor="text1"/>
        </w:rPr>
        <w:t>A su vez, las provisiones aumentaron de $217.652 millones a $241.689 millones, con una variación de $24.037 millones, equivalente a 11,0%, lo que refleja mayores estimaciones de obligaciones o contingencias reconocidas por la entidad.</w:t>
      </w:r>
      <w:r w:rsidR="00594335">
        <w:rPr>
          <w:rFonts w:ascii="Arial" w:eastAsia="Arial" w:hAnsi="Arial" w:cs="Arial"/>
          <w:color w:val="000000" w:themeColor="text1"/>
        </w:rPr>
        <w:t xml:space="preserve"> </w:t>
      </w:r>
      <w:r w:rsidRPr="00E319E1">
        <w:rPr>
          <w:rFonts w:ascii="Arial" w:eastAsia="Arial" w:hAnsi="Arial" w:cs="Arial"/>
          <w:color w:val="000000" w:themeColor="text1"/>
        </w:rPr>
        <w:t>La relación entre total activos y total pasivos pasó de 116,6% en enero a 103,9% en diciembre de 2025. Esta reducción evidencia que el margen de cobertura contable de las obligaciones con los activos disponibles se estrechó durante el periodo. En términos prácticos, mientras en enero la entidad contaba con $1,17 de activos por cada $1 de pasivos, al cierre de diciembre esta relación se redujo a aproximadamente $1,04 por cada $1 de obligaciones. Este comportamiento muestra una disminución del margen financiero de respaldo frente al pasivo total.</w:t>
      </w:r>
    </w:p>
    <w:p w14:paraId="0574C199" w14:textId="77777777" w:rsidR="00E319E1" w:rsidRPr="00E319E1" w:rsidRDefault="00E319E1" w:rsidP="00E319E1">
      <w:pPr>
        <w:spacing w:line="360" w:lineRule="auto"/>
        <w:jc w:val="both"/>
        <w:rPr>
          <w:rFonts w:ascii="Arial" w:eastAsia="Arial" w:hAnsi="Arial" w:cs="Arial"/>
          <w:color w:val="000000" w:themeColor="text1"/>
        </w:rPr>
      </w:pPr>
    </w:p>
    <w:p w14:paraId="02E50EDD" w14:textId="77777777" w:rsidR="00E319E1" w:rsidRPr="00E319E1" w:rsidRDefault="00E319E1" w:rsidP="00E319E1">
      <w:pPr>
        <w:spacing w:line="360" w:lineRule="auto"/>
        <w:jc w:val="both"/>
        <w:rPr>
          <w:rFonts w:ascii="Arial" w:eastAsia="Arial" w:hAnsi="Arial" w:cs="Arial"/>
          <w:color w:val="000000" w:themeColor="text1"/>
        </w:rPr>
      </w:pPr>
      <w:r w:rsidRPr="00E319E1">
        <w:rPr>
          <w:rFonts w:ascii="Arial" w:eastAsia="Arial" w:hAnsi="Arial" w:cs="Arial"/>
          <w:color w:val="000000" w:themeColor="text1"/>
        </w:rPr>
        <w:t>El patrimonio presentó un deterioro significativo, al pasar de $67.239 millones en enero a $18.323 millones en diciembre, con una reducción de $48.916 millones, equivalente a una caída aproximada del 72,8%. Esta disminución está asociada al resultado negativo del ejercicio y a la acumulación de pérdidas, lo que debilita la solvencia patrimonial de la EPS. La participación del patrimonio dentro del total de activos se redujo de 14,3% en enero a 3,8% en diciembre, mientras que el nivel de endeudamiento, medido como pasivos sobre activos, aumentó de 85,7% a 96,2%.</w:t>
      </w:r>
    </w:p>
    <w:p w14:paraId="3B84F1D2" w14:textId="77777777" w:rsidR="00E319E1" w:rsidRDefault="00E319E1" w:rsidP="00E319E1">
      <w:pPr>
        <w:spacing w:line="360" w:lineRule="auto"/>
        <w:jc w:val="both"/>
        <w:rPr>
          <w:rFonts w:ascii="Arial" w:eastAsia="Arial" w:hAnsi="Arial" w:cs="Arial"/>
          <w:color w:val="000000" w:themeColor="text1"/>
        </w:rPr>
      </w:pPr>
      <w:r w:rsidRPr="00E319E1">
        <w:rPr>
          <w:rFonts w:ascii="Arial" w:eastAsia="Arial" w:hAnsi="Arial" w:cs="Arial"/>
          <w:color w:val="000000" w:themeColor="text1"/>
        </w:rPr>
        <w:t xml:space="preserve">En síntesis, aunque los activos totales de Capital Salud EPS-S registraron un incremento moderado del 2,9% durante 2025, los pasivos crecieron a un ritmo mucho mayor, con una variación del 15,5%. </w:t>
      </w:r>
    </w:p>
    <w:p w14:paraId="3C446214" w14:textId="77777777" w:rsidR="00E319E1" w:rsidRDefault="00E319E1" w:rsidP="00E319E1">
      <w:pPr>
        <w:spacing w:line="360" w:lineRule="auto"/>
        <w:jc w:val="both"/>
        <w:rPr>
          <w:rFonts w:ascii="Arial" w:eastAsia="Arial" w:hAnsi="Arial" w:cs="Arial"/>
          <w:color w:val="000000" w:themeColor="text1"/>
        </w:rPr>
      </w:pPr>
    </w:p>
    <w:p w14:paraId="2877F5B3" w14:textId="46C42A03" w:rsidR="00E319E1" w:rsidRDefault="00E319E1" w:rsidP="00E319E1">
      <w:pPr>
        <w:spacing w:line="360" w:lineRule="auto"/>
        <w:jc w:val="both"/>
        <w:rPr>
          <w:rFonts w:ascii="Arial" w:eastAsia="Arial" w:hAnsi="Arial" w:cs="Arial"/>
          <w:color w:val="000000" w:themeColor="text1"/>
        </w:rPr>
      </w:pPr>
      <w:r w:rsidRPr="00E319E1">
        <w:rPr>
          <w:rFonts w:ascii="Arial" w:eastAsia="Arial" w:hAnsi="Arial" w:cs="Arial"/>
          <w:color w:val="000000" w:themeColor="text1"/>
        </w:rPr>
        <w:lastRenderedPageBreak/>
        <w:t>Este comportamiento evidencia una presión financiera creciente, caracterizada por menor liquidez inmediata, aumento de cuentas por cobrar, mayor carga de obligaciones con proveedores médicos, incremento de provisiones y deterioro patrimonial. En consecuencia, el escenario financiero de la EPS amerita seguimiento estrecho, con énfasis en recuperación de cartera, control del gasto asistencial, depuración de anticipos, gestión de pasivos con la red prestadora, fortalecimiento patrimonial y formulación de medidas orientadas a preservar la sostenibilidad operativa y la continuidad en la prestación de servicios de salud.</w:t>
      </w:r>
    </w:p>
    <w:p w14:paraId="0D81EDF0" w14:textId="77777777" w:rsidR="00375B60" w:rsidRPr="00E319E1" w:rsidRDefault="00375B60" w:rsidP="00E319E1">
      <w:pPr>
        <w:spacing w:line="360" w:lineRule="auto"/>
        <w:jc w:val="both"/>
        <w:rPr>
          <w:rFonts w:ascii="Arial" w:eastAsia="Arial" w:hAnsi="Arial" w:cs="Arial"/>
          <w:color w:val="000000" w:themeColor="text1"/>
        </w:rPr>
      </w:pPr>
    </w:p>
    <w:p w14:paraId="0E6CF599" w14:textId="12B49F41" w:rsidR="00375B60" w:rsidRPr="00375B60" w:rsidRDefault="006D1139" w:rsidP="00375B60">
      <w:pPr>
        <w:pStyle w:val="Descripcin"/>
        <w:keepNext/>
        <w:jc w:val="center"/>
        <w:rPr>
          <w:rFonts w:ascii="Arial" w:hAnsi="Arial" w:cs="Arial"/>
          <w:color w:val="000000" w:themeColor="text1"/>
          <w:sz w:val="24"/>
          <w:szCs w:val="24"/>
        </w:rPr>
      </w:pPr>
      <w:r>
        <w:rPr>
          <w:noProof/>
        </w:rPr>
        <w:drawing>
          <wp:anchor distT="0" distB="0" distL="114300" distR="114300" simplePos="0" relativeHeight="251667968" behindDoc="0" locked="0" layoutInCell="1" allowOverlap="1" wp14:anchorId="27503317" wp14:editId="7E617BE6">
            <wp:simplePos x="0" y="0"/>
            <wp:positionH relativeFrom="column">
              <wp:posOffset>-803910</wp:posOffset>
            </wp:positionH>
            <wp:positionV relativeFrom="paragraph">
              <wp:posOffset>467360</wp:posOffset>
            </wp:positionV>
            <wp:extent cx="7315200" cy="3629025"/>
            <wp:effectExtent l="0" t="0" r="0" b="0"/>
            <wp:wrapSquare wrapText="bothSides"/>
            <wp:docPr id="26" name="Gráfico 26">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margin">
              <wp14:pctWidth>0</wp14:pctWidth>
            </wp14:sizeRelH>
          </wp:anchor>
        </w:drawing>
      </w:r>
      <w:r w:rsidR="00375B60" w:rsidRPr="00375B60">
        <w:rPr>
          <w:rFonts w:ascii="Arial" w:hAnsi="Arial" w:cs="Arial"/>
          <w:color w:val="000000" w:themeColor="text1"/>
          <w:sz w:val="24"/>
          <w:szCs w:val="24"/>
        </w:rPr>
        <w:t xml:space="preserve">Gráfica </w:t>
      </w:r>
      <w:r w:rsidR="00375B60" w:rsidRPr="00375B60">
        <w:rPr>
          <w:rFonts w:ascii="Arial" w:hAnsi="Arial" w:cs="Arial"/>
          <w:color w:val="000000" w:themeColor="text1"/>
          <w:sz w:val="24"/>
          <w:szCs w:val="24"/>
        </w:rPr>
        <w:fldChar w:fldCharType="begin"/>
      </w:r>
      <w:r w:rsidR="00375B60" w:rsidRPr="00375B60">
        <w:rPr>
          <w:rFonts w:ascii="Arial" w:hAnsi="Arial" w:cs="Arial"/>
          <w:color w:val="000000" w:themeColor="text1"/>
          <w:sz w:val="24"/>
          <w:szCs w:val="24"/>
        </w:rPr>
        <w:instrText xml:space="preserve"> SEQ Gráfica \* ARABIC </w:instrText>
      </w:r>
      <w:r w:rsidR="00375B60" w:rsidRPr="00375B60">
        <w:rPr>
          <w:rFonts w:ascii="Arial" w:hAnsi="Arial" w:cs="Arial"/>
          <w:color w:val="000000" w:themeColor="text1"/>
          <w:sz w:val="24"/>
          <w:szCs w:val="24"/>
        </w:rPr>
        <w:fldChar w:fldCharType="separate"/>
      </w:r>
      <w:r w:rsidR="004F456A">
        <w:rPr>
          <w:rFonts w:ascii="Arial" w:hAnsi="Arial" w:cs="Arial"/>
          <w:noProof/>
          <w:color w:val="000000" w:themeColor="text1"/>
          <w:sz w:val="24"/>
          <w:szCs w:val="24"/>
        </w:rPr>
        <w:t>5</w:t>
      </w:r>
      <w:r w:rsidR="00375B60" w:rsidRPr="00375B60">
        <w:rPr>
          <w:rFonts w:ascii="Arial" w:hAnsi="Arial" w:cs="Arial"/>
          <w:color w:val="000000" w:themeColor="text1"/>
          <w:sz w:val="24"/>
          <w:szCs w:val="24"/>
        </w:rPr>
        <w:fldChar w:fldCharType="end"/>
      </w:r>
      <w:r w:rsidR="00375B60" w:rsidRPr="00375B60">
        <w:rPr>
          <w:rFonts w:ascii="Arial" w:hAnsi="Arial" w:cs="Arial"/>
          <w:color w:val="000000" w:themeColor="text1"/>
          <w:sz w:val="24"/>
          <w:szCs w:val="24"/>
        </w:rPr>
        <w:t>. Total, de activos y pasivos, cifras en millones de pesos colombianos</w:t>
      </w:r>
    </w:p>
    <w:p w14:paraId="16E083D3" w14:textId="2B168E5D" w:rsidR="009F762E" w:rsidRPr="00242DFB" w:rsidRDefault="009F762E" w:rsidP="00375B60">
      <w:pPr>
        <w:spacing w:line="360" w:lineRule="auto"/>
        <w:jc w:val="center"/>
        <w:rPr>
          <w:rFonts w:ascii="Arial" w:hAnsi="Arial" w:cs="Arial"/>
          <w:color w:val="000000" w:themeColor="text1"/>
        </w:rPr>
      </w:pPr>
    </w:p>
    <w:p w14:paraId="3E2DE921" w14:textId="77777777" w:rsidR="009F762E" w:rsidRPr="00DC2FBC" w:rsidRDefault="00000000" w:rsidP="002A0E52">
      <w:pPr>
        <w:spacing w:line="360" w:lineRule="auto"/>
        <w:jc w:val="both"/>
        <w:rPr>
          <w:rFonts w:ascii="Arial" w:hAnsi="Arial" w:cs="Arial"/>
          <w:color w:val="000000" w:themeColor="text1"/>
          <w:sz w:val="16"/>
          <w:szCs w:val="16"/>
        </w:rPr>
      </w:pPr>
      <w:r w:rsidRPr="00DC2FBC">
        <w:rPr>
          <w:rFonts w:ascii="Arial" w:eastAsia="Arial" w:hAnsi="Arial" w:cs="Arial"/>
          <w:color w:val="000000"/>
          <w:sz w:val="16"/>
          <w:szCs w:val="16"/>
        </w:rPr>
        <w:t xml:space="preserve">Fuente:  Formato FT001 – Información financiera reportada (corte enero a diciembre 2025). </w:t>
      </w:r>
      <w:hyperlink r:id="rId25" w:anchor="/datos-abiertos/search?groupIds=9a4d8d6e18a94ad4a633ef878e6c638d&amp;q=2025" w:history="1">
        <w:r w:rsidRPr="00DC2FBC">
          <w:rPr>
            <w:rStyle w:val="Hipervnculo"/>
            <w:rFonts w:ascii="Arial" w:eastAsia="Arial" w:hAnsi="Arial" w:cs="Arial"/>
            <w:color w:val="000000"/>
            <w:sz w:val="16"/>
            <w:szCs w:val="16"/>
          </w:rPr>
          <w:t>https://mapas.supersalud.gov.co/arcgisportal/apps/sites/#/datos-abiertos/search?groupIds=9a4d8d6e18a94ad4a633ef878e6c638d&amp;q=2025</w:t>
        </w:r>
      </w:hyperlink>
    </w:p>
    <w:p w14:paraId="025568AA"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4D727803" w14:textId="77777777" w:rsidR="00B1210D" w:rsidRPr="0054533D" w:rsidRDefault="00B1210D" w:rsidP="00B1210D">
      <w:pPr>
        <w:spacing w:line="360" w:lineRule="auto"/>
        <w:jc w:val="both"/>
        <w:rPr>
          <w:rFonts w:ascii="Arial" w:hAnsi="Arial" w:cs="Arial"/>
          <w:color w:val="000000"/>
        </w:rPr>
      </w:pPr>
      <w:r w:rsidRPr="00B1210D">
        <w:rPr>
          <w:rFonts w:ascii="Arial" w:hAnsi="Arial" w:cs="Arial"/>
          <w:color w:val="000000"/>
        </w:rPr>
        <w:t xml:space="preserve">La gráfica evidencia que, durante 2025, los activos totales de Capital Salud EPS-S mantuvieron un comportamiento relativamente estable, pasando de $471.497 millones en enero a $485.120 millones en diciembre, con un crecimiento neto </w:t>
      </w:r>
      <w:r w:rsidRPr="00B1210D">
        <w:rPr>
          <w:rFonts w:ascii="Arial" w:hAnsi="Arial" w:cs="Arial"/>
          <w:color w:val="000000"/>
        </w:rPr>
        <w:lastRenderedPageBreak/>
        <w:t>moderado. El punto más alto se presentó en septiembre, con $537.292 millones, seguido de una disminución en octubre y noviembre, para cerrar el año con una recuperación parcial. Este comportamiento muestra que, aunque la entidad conserva una base de activos importante, su crecimiento no fue sostenido durante todo el periodo y presentó fluctuaciones asociadas principalmente a cambios en cuentas por cobrar, anticipos y efectivo disponible.</w:t>
      </w:r>
    </w:p>
    <w:p w14:paraId="2748A023" w14:textId="77777777" w:rsidR="00B1210D" w:rsidRPr="00B1210D" w:rsidRDefault="00B1210D" w:rsidP="00B1210D">
      <w:pPr>
        <w:spacing w:line="360" w:lineRule="auto"/>
        <w:jc w:val="both"/>
        <w:rPr>
          <w:rFonts w:ascii="Arial" w:hAnsi="Arial" w:cs="Arial"/>
          <w:color w:val="000000"/>
        </w:rPr>
      </w:pPr>
    </w:p>
    <w:p w14:paraId="3B72F916" w14:textId="77777777" w:rsidR="00B1210D" w:rsidRPr="00B1210D" w:rsidRDefault="00B1210D" w:rsidP="00B1210D">
      <w:pPr>
        <w:spacing w:line="360" w:lineRule="auto"/>
        <w:jc w:val="both"/>
        <w:rPr>
          <w:rFonts w:ascii="Arial" w:hAnsi="Arial" w:cs="Arial"/>
          <w:color w:val="000000"/>
        </w:rPr>
      </w:pPr>
      <w:r w:rsidRPr="00B1210D">
        <w:rPr>
          <w:rFonts w:ascii="Arial" w:hAnsi="Arial" w:cs="Arial"/>
          <w:color w:val="000000"/>
        </w:rPr>
        <w:t>En contraste, los pasivos totales muestran una tendencia de crecimiento más acelerada que los activos, al pasar de $404.258 millones en enero a $466.797 millones en diciembre. El pasivo alcanzó su punto máximo en septiembre, con $515.556 millones, y aunque disminuyó en noviembre, volvió a incrementarse al cierre del año. La cercanía entre las dos curvas, especialmente desde julio, evidencia una reducción progresiva del margen patrimonial y una mayor presión financiera sobre la EPS. En síntesis, la gráfica muestra que Capital Salud cerró 2025 con activos superiores a sus pasivos, pero con una brecha estrecha, lo que sugiere aumento del apalancamiento, menor holgura financiera y necesidad de seguimiento sobre liquidez, cuentas por pagar, provisiones y sostenibilidad operativa.</w:t>
      </w:r>
    </w:p>
    <w:p w14:paraId="449D2E81" w14:textId="77777777" w:rsidR="00B1210D" w:rsidRDefault="00B1210D" w:rsidP="002A0E52">
      <w:pPr>
        <w:spacing w:line="360" w:lineRule="auto"/>
        <w:jc w:val="both"/>
        <w:rPr>
          <w:rFonts w:ascii="Arial" w:hAnsi="Arial" w:cs="Arial"/>
          <w:color w:val="000000"/>
        </w:rPr>
      </w:pPr>
    </w:p>
    <w:p w14:paraId="293C00A5" w14:textId="2F0A9905" w:rsidR="009F762E" w:rsidRPr="00242DFB" w:rsidRDefault="00000000" w:rsidP="002A0E52">
      <w:pPr>
        <w:spacing w:line="360" w:lineRule="auto"/>
        <w:jc w:val="both"/>
        <w:rPr>
          <w:rFonts w:ascii="Arial" w:eastAsia="Arial" w:hAnsi="Arial" w:cs="Arial"/>
          <w:color w:val="000000" w:themeColor="text1"/>
        </w:rPr>
      </w:pPr>
      <w:r w:rsidRPr="00242DFB">
        <w:rPr>
          <w:rFonts w:ascii="Arial" w:hAnsi="Arial" w:cs="Arial"/>
          <w:color w:val="000000"/>
        </w:rPr>
        <w:t>En consecuencia, los estados financieros reflejan un deterioro patrimonial relevante: el patrimonio disminuye de $67.239 millones en enero a $18.323 millones en diciembre de 2025, equivalente a una reducción aproximada del 72,7%; según el siguiente detalle</w:t>
      </w:r>
      <w:r w:rsidR="00B1210D">
        <w:rPr>
          <w:rFonts w:ascii="Arial" w:hAnsi="Arial" w:cs="Arial"/>
          <w:color w:val="000000"/>
        </w:rPr>
        <w:t xml:space="preserve"> que muestra la tabla 26</w:t>
      </w:r>
      <w:r w:rsidRPr="00242DFB">
        <w:rPr>
          <w:rFonts w:ascii="Arial" w:hAnsi="Arial" w:cs="Arial"/>
          <w:color w:val="000000"/>
        </w:rPr>
        <w:t>:</w:t>
      </w:r>
    </w:p>
    <w:p w14:paraId="7DF17CD9" w14:textId="77777777" w:rsidR="009F762E" w:rsidRDefault="00000000" w:rsidP="002A0E52">
      <w:pPr>
        <w:spacing w:line="360" w:lineRule="auto"/>
        <w:jc w:val="both"/>
        <w:rPr>
          <w:rFonts w:ascii="Arial" w:eastAsia="Arial" w:hAnsi="Arial" w:cs="Arial"/>
          <w:color w:val="000000"/>
        </w:rPr>
      </w:pPr>
      <w:r w:rsidRPr="00242DFB">
        <w:rPr>
          <w:rFonts w:ascii="Arial" w:eastAsia="Arial" w:hAnsi="Arial" w:cs="Arial"/>
          <w:color w:val="000000"/>
        </w:rPr>
        <w:t xml:space="preserve">   </w:t>
      </w:r>
    </w:p>
    <w:p w14:paraId="1398403D" w14:textId="23F7A5B4" w:rsidR="008D64A0" w:rsidRPr="008D64A0" w:rsidRDefault="008D64A0" w:rsidP="008D64A0">
      <w:pPr>
        <w:pStyle w:val="Ttulo2"/>
        <w:numPr>
          <w:ilvl w:val="1"/>
          <w:numId w:val="7"/>
        </w:numPr>
        <w:spacing w:before="0" w:line="360" w:lineRule="auto"/>
        <w:rPr>
          <w:rFonts w:ascii="Arial" w:hAnsi="Arial" w:cs="Arial"/>
          <w:b/>
          <w:bCs/>
          <w:color w:val="000000" w:themeColor="text1"/>
          <w:sz w:val="24"/>
          <w:szCs w:val="24"/>
        </w:rPr>
      </w:pPr>
      <w:r>
        <w:rPr>
          <w:rFonts w:ascii="Arial" w:hAnsi="Arial" w:cs="Arial"/>
          <w:b/>
          <w:bCs/>
          <w:color w:val="000000" w:themeColor="text1"/>
          <w:sz w:val="24"/>
          <w:szCs w:val="24"/>
        </w:rPr>
        <w:t xml:space="preserve"> Patrimonio</w:t>
      </w:r>
    </w:p>
    <w:p w14:paraId="38D16502" w14:textId="77777777" w:rsidR="008D64A0" w:rsidRPr="00242DFB" w:rsidRDefault="008D64A0" w:rsidP="002A0E52">
      <w:pPr>
        <w:spacing w:line="360" w:lineRule="auto"/>
        <w:jc w:val="both"/>
        <w:rPr>
          <w:rFonts w:ascii="Arial" w:hAnsi="Arial" w:cs="Arial"/>
          <w:color w:val="000000" w:themeColor="text1"/>
        </w:rPr>
      </w:pPr>
    </w:p>
    <w:p w14:paraId="44996928" w14:textId="7050CF5A" w:rsidR="00B1210D" w:rsidRPr="00B1210D" w:rsidRDefault="00B1210D" w:rsidP="00B1210D">
      <w:pPr>
        <w:pStyle w:val="Descripcin"/>
        <w:keepNext/>
        <w:jc w:val="center"/>
        <w:rPr>
          <w:rFonts w:ascii="Arial" w:hAnsi="Arial" w:cs="Arial"/>
          <w:color w:val="000000" w:themeColor="text1"/>
          <w:sz w:val="24"/>
          <w:szCs w:val="24"/>
        </w:rPr>
      </w:pPr>
      <w:r w:rsidRPr="00B1210D">
        <w:rPr>
          <w:rFonts w:ascii="Arial" w:hAnsi="Arial" w:cs="Arial"/>
          <w:color w:val="000000" w:themeColor="text1"/>
          <w:sz w:val="24"/>
          <w:szCs w:val="24"/>
        </w:rPr>
        <w:t xml:space="preserve">Tabla </w:t>
      </w:r>
      <w:r w:rsidRPr="00B1210D">
        <w:rPr>
          <w:rFonts w:ascii="Arial" w:hAnsi="Arial" w:cs="Arial"/>
          <w:color w:val="000000" w:themeColor="text1"/>
          <w:sz w:val="24"/>
          <w:szCs w:val="24"/>
        </w:rPr>
        <w:fldChar w:fldCharType="begin"/>
      </w:r>
      <w:r w:rsidRPr="00B1210D">
        <w:rPr>
          <w:rFonts w:ascii="Arial" w:hAnsi="Arial" w:cs="Arial"/>
          <w:color w:val="000000" w:themeColor="text1"/>
          <w:sz w:val="24"/>
          <w:szCs w:val="24"/>
        </w:rPr>
        <w:instrText xml:space="preserve"> SEQ Tabla \* ARABIC </w:instrText>
      </w:r>
      <w:r w:rsidRPr="00B1210D">
        <w:rPr>
          <w:rFonts w:ascii="Arial" w:hAnsi="Arial" w:cs="Arial"/>
          <w:color w:val="000000" w:themeColor="text1"/>
          <w:sz w:val="24"/>
          <w:szCs w:val="24"/>
        </w:rPr>
        <w:fldChar w:fldCharType="separate"/>
      </w:r>
      <w:r w:rsidRPr="00B1210D">
        <w:rPr>
          <w:rFonts w:ascii="Arial" w:hAnsi="Arial" w:cs="Arial"/>
          <w:noProof/>
          <w:color w:val="000000" w:themeColor="text1"/>
          <w:sz w:val="24"/>
          <w:szCs w:val="24"/>
        </w:rPr>
        <w:t>26</w:t>
      </w:r>
      <w:r w:rsidRPr="00B1210D">
        <w:rPr>
          <w:rFonts w:ascii="Arial" w:hAnsi="Arial" w:cs="Arial"/>
          <w:color w:val="000000" w:themeColor="text1"/>
          <w:sz w:val="24"/>
          <w:szCs w:val="24"/>
        </w:rPr>
        <w:fldChar w:fldCharType="end"/>
      </w:r>
      <w:r w:rsidRPr="00B1210D">
        <w:rPr>
          <w:rFonts w:ascii="Arial" w:hAnsi="Arial" w:cs="Arial"/>
          <w:color w:val="000000" w:themeColor="text1"/>
          <w:sz w:val="24"/>
          <w:szCs w:val="24"/>
        </w:rPr>
        <w:t>. Patrimonio Capital Salud EPS-S, enero-diciembre de 2025, cifras en millones de pesos colombianos</w:t>
      </w:r>
    </w:p>
    <w:tbl>
      <w:tblPr>
        <w:tblStyle w:val="Tablaconcuadrcula"/>
        <w:tblW w:w="11210" w:type="dxa"/>
        <w:jc w:val="center"/>
        <w:tblLayout w:type="fixed"/>
        <w:tblLook w:val="04A0" w:firstRow="1" w:lastRow="0" w:firstColumn="1" w:lastColumn="0" w:noHBand="0" w:noVBand="1"/>
      </w:tblPr>
      <w:tblGrid>
        <w:gridCol w:w="1139"/>
        <w:gridCol w:w="840"/>
        <w:gridCol w:w="839"/>
        <w:gridCol w:w="840"/>
        <w:gridCol w:w="838"/>
        <w:gridCol w:w="840"/>
        <w:gridCol w:w="839"/>
        <w:gridCol w:w="839"/>
        <w:gridCol w:w="839"/>
        <w:gridCol w:w="840"/>
        <w:gridCol w:w="839"/>
        <w:gridCol w:w="839"/>
        <w:gridCol w:w="839"/>
      </w:tblGrid>
      <w:tr w:rsidR="009F762E" w:rsidRPr="00B1210D" w14:paraId="3F10290C" w14:textId="77777777" w:rsidTr="0054533D">
        <w:trPr>
          <w:cantSplit/>
          <w:trHeight w:val="320"/>
          <w:tblHeader/>
          <w:jc w:val="center"/>
        </w:trPr>
        <w:tc>
          <w:tcPr>
            <w:tcW w:w="1139" w:type="dxa"/>
            <w:vAlign w:val="center"/>
          </w:tcPr>
          <w:p w14:paraId="6CA9AA5C"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Concepto</w:t>
            </w:r>
          </w:p>
        </w:tc>
        <w:tc>
          <w:tcPr>
            <w:tcW w:w="840" w:type="dxa"/>
            <w:vAlign w:val="center"/>
          </w:tcPr>
          <w:p w14:paraId="43F98076"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ene-25</w:t>
            </w:r>
          </w:p>
        </w:tc>
        <w:tc>
          <w:tcPr>
            <w:tcW w:w="839" w:type="dxa"/>
            <w:vAlign w:val="center"/>
          </w:tcPr>
          <w:p w14:paraId="55C1FE37"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feb-25</w:t>
            </w:r>
          </w:p>
        </w:tc>
        <w:tc>
          <w:tcPr>
            <w:tcW w:w="840" w:type="dxa"/>
            <w:vAlign w:val="center"/>
          </w:tcPr>
          <w:p w14:paraId="0E426B89"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mar-25</w:t>
            </w:r>
          </w:p>
        </w:tc>
        <w:tc>
          <w:tcPr>
            <w:tcW w:w="838" w:type="dxa"/>
            <w:vAlign w:val="center"/>
          </w:tcPr>
          <w:p w14:paraId="25241B4C"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abr-25</w:t>
            </w:r>
          </w:p>
        </w:tc>
        <w:tc>
          <w:tcPr>
            <w:tcW w:w="840" w:type="dxa"/>
            <w:vAlign w:val="center"/>
          </w:tcPr>
          <w:p w14:paraId="7537F2BF"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may-25</w:t>
            </w:r>
          </w:p>
        </w:tc>
        <w:tc>
          <w:tcPr>
            <w:tcW w:w="839" w:type="dxa"/>
            <w:vAlign w:val="center"/>
          </w:tcPr>
          <w:p w14:paraId="7E6875CE"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jun-25</w:t>
            </w:r>
          </w:p>
        </w:tc>
        <w:tc>
          <w:tcPr>
            <w:tcW w:w="839" w:type="dxa"/>
            <w:vAlign w:val="center"/>
          </w:tcPr>
          <w:p w14:paraId="087C59BF"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jul-25</w:t>
            </w:r>
          </w:p>
        </w:tc>
        <w:tc>
          <w:tcPr>
            <w:tcW w:w="839" w:type="dxa"/>
            <w:vAlign w:val="center"/>
          </w:tcPr>
          <w:p w14:paraId="258BBC3F"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ago-25</w:t>
            </w:r>
          </w:p>
        </w:tc>
        <w:tc>
          <w:tcPr>
            <w:tcW w:w="840" w:type="dxa"/>
            <w:vAlign w:val="center"/>
          </w:tcPr>
          <w:p w14:paraId="7CC177C7"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sep-25</w:t>
            </w:r>
          </w:p>
        </w:tc>
        <w:tc>
          <w:tcPr>
            <w:tcW w:w="839" w:type="dxa"/>
            <w:vAlign w:val="center"/>
          </w:tcPr>
          <w:p w14:paraId="251D04A8"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oct-25</w:t>
            </w:r>
          </w:p>
        </w:tc>
        <w:tc>
          <w:tcPr>
            <w:tcW w:w="839" w:type="dxa"/>
            <w:vAlign w:val="center"/>
          </w:tcPr>
          <w:p w14:paraId="65486224"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nov-25</w:t>
            </w:r>
          </w:p>
        </w:tc>
        <w:tc>
          <w:tcPr>
            <w:tcW w:w="839" w:type="dxa"/>
            <w:vAlign w:val="center"/>
          </w:tcPr>
          <w:p w14:paraId="24E9F95D"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dic-25</w:t>
            </w:r>
          </w:p>
        </w:tc>
      </w:tr>
      <w:tr w:rsidR="009F762E" w:rsidRPr="00B1210D" w14:paraId="01ACF4B7" w14:textId="77777777" w:rsidTr="0054533D">
        <w:trPr>
          <w:cantSplit/>
          <w:trHeight w:val="964"/>
          <w:jc w:val="center"/>
        </w:trPr>
        <w:tc>
          <w:tcPr>
            <w:tcW w:w="1139" w:type="dxa"/>
            <w:vAlign w:val="center"/>
          </w:tcPr>
          <w:p w14:paraId="6A03770A"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Capital Suscrito y Pagado</w:t>
            </w:r>
          </w:p>
        </w:tc>
        <w:tc>
          <w:tcPr>
            <w:tcW w:w="840" w:type="dxa"/>
            <w:vAlign w:val="center"/>
          </w:tcPr>
          <w:p w14:paraId="21FAB7FD"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39" w:type="dxa"/>
            <w:vAlign w:val="center"/>
          </w:tcPr>
          <w:p w14:paraId="2A713A54"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40" w:type="dxa"/>
            <w:vAlign w:val="center"/>
          </w:tcPr>
          <w:p w14:paraId="54D7850D"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38" w:type="dxa"/>
            <w:vAlign w:val="center"/>
          </w:tcPr>
          <w:p w14:paraId="6B182A13"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40" w:type="dxa"/>
            <w:vAlign w:val="center"/>
          </w:tcPr>
          <w:p w14:paraId="1912F964"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39" w:type="dxa"/>
            <w:vAlign w:val="center"/>
          </w:tcPr>
          <w:p w14:paraId="07F626C1"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39" w:type="dxa"/>
            <w:vAlign w:val="center"/>
          </w:tcPr>
          <w:p w14:paraId="09398126"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39" w:type="dxa"/>
            <w:vAlign w:val="center"/>
          </w:tcPr>
          <w:p w14:paraId="7E1C49C5"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40" w:type="dxa"/>
            <w:vAlign w:val="center"/>
          </w:tcPr>
          <w:p w14:paraId="1E4708E6"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39" w:type="dxa"/>
            <w:vAlign w:val="center"/>
          </w:tcPr>
          <w:p w14:paraId="262D1CA0"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39" w:type="dxa"/>
            <w:vAlign w:val="center"/>
          </w:tcPr>
          <w:p w14:paraId="2BAFDB07"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39" w:type="dxa"/>
            <w:vAlign w:val="center"/>
          </w:tcPr>
          <w:p w14:paraId="1472582A"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r>
      <w:tr w:rsidR="009F762E" w:rsidRPr="00B1210D" w14:paraId="61FF48E1" w14:textId="77777777" w:rsidTr="0054533D">
        <w:trPr>
          <w:cantSplit/>
          <w:trHeight w:val="320"/>
          <w:jc w:val="center"/>
        </w:trPr>
        <w:tc>
          <w:tcPr>
            <w:tcW w:w="1139" w:type="dxa"/>
            <w:vAlign w:val="center"/>
          </w:tcPr>
          <w:p w14:paraId="6334BF75"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Reservas</w:t>
            </w:r>
          </w:p>
        </w:tc>
        <w:tc>
          <w:tcPr>
            <w:tcW w:w="840" w:type="dxa"/>
            <w:vAlign w:val="center"/>
          </w:tcPr>
          <w:p w14:paraId="79A1E76F"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39" w:type="dxa"/>
            <w:vAlign w:val="center"/>
          </w:tcPr>
          <w:p w14:paraId="53388ECD"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40" w:type="dxa"/>
            <w:vAlign w:val="center"/>
          </w:tcPr>
          <w:p w14:paraId="3BCB2384"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38" w:type="dxa"/>
            <w:vAlign w:val="center"/>
          </w:tcPr>
          <w:p w14:paraId="7B1E5F02"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40" w:type="dxa"/>
            <w:vAlign w:val="center"/>
          </w:tcPr>
          <w:p w14:paraId="572FCAAF"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39" w:type="dxa"/>
            <w:vAlign w:val="center"/>
          </w:tcPr>
          <w:p w14:paraId="5F7F7842"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39" w:type="dxa"/>
            <w:vAlign w:val="center"/>
          </w:tcPr>
          <w:p w14:paraId="38357044"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39" w:type="dxa"/>
            <w:vAlign w:val="center"/>
          </w:tcPr>
          <w:p w14:paraId="7520B6F1"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40" w:type="dxa"/>
            <w:vAlign w:val="center"/>
          </w:tcPr>
          <w:p w14:paraId="03173E61"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39" w:type="dxa"/>
            <w:vAlign w:val="center"/>
          </w:tcPr>
          <w:p w14:paraId="2DC0C869"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39" w:type="dxa"/>
            <w:vAlign w:val="center"/>
          </w:tcPr>
          <w:p w14:paraId="57D52E53"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39" w:type="dxa"/>
            <w:vAlign w:val="center"/>
          </w:tcPr>
          <w:p w14:paraId="285F1041"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r>
      <w:tr w:rsidR="009F762E" w:rsidRPr="00B1210D" w14:paraId="49AA7959" w14:textId="77777777" w:rsidTr="0054533D">
        <w:trPr>
          <w:cantSplit/>
          <w:trHeight w:val="1285"/>
          <w:jc w:val="center"/>
        </w:trPr>
        <w:tc>
          <w:tcPr>
            <w:tcW w:w="1139" w:type="dxa"/>
            <w:vAlign w:val="center"/>
          </w:tcPr>
          <w:p w14:paraId="199BD395"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lastRenderedPageBreak/>
              <w:t>Resultados de Ejercicios Anteriores</w:t>
            </w:r>
          </w:p>
        </w:tc>
        <w:tc>
          <w:tcPr>
            <w:tcW w:w="840" w:type="dxa"/>
            <w:vAlign w:val="center"/>
          </w:tcPr>
          <w:p w14:paraId="0A10A791"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39" w:type="dxa"/>
            <w:vAlign w:val="center"/>
          </w:tcPr>
          <w:p w14:paraId="3BF90E23"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40" w:type="dxa"/>
            <w:vAlign w:val="center"/>
          </w:tcPr>
          <w:p w14:paraId="5CA031D9"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38" w:type="dxa"/>
            <w:vAlign w:val="center"/>
          </w:tcPr>
          <w:p w14:paraId="08A54992"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40" w:type="dxa"/>
            <w:vAlign w:val="center"/>
          </w:tcPr>
          <w:p w14:paraId="4804238E"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39" w:type="dxa"/>
            <w:vAlign w:val="center"/>
          </w:tcPr>
          <w:p w14:paraId="61D4DD4B"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39" w:type="dxa"/>
            <w:vAlign w:val="center"/>
          </w:tcPr>
          <w:p w14:paraId="3E3A76DD"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39" w:type="dxa"/>
            <w:vAlign w:val="center"/>
          </w:tcPr>
          <w:p w14:paraId="63EED659"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40" w:type="dxa"/>
            <w:vAlign w:val="center"/>
          </w:tcPr>
          <w:p w14:paraId="5CA1FAE8"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39" w:type="dxa"/>
            <w:vAlign w:val="center"/>
          </w:tcPr>
          <w:p w14:paraId="4D2389AC"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39" w:type="dxa"/>
            <w:vAlign w:val="center"/>
          </w:tcPr>
          <w:p w14:paraId="67655AD5"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39" w:type="dxa"/>
            <w:vAlign w:val="center"/>
          </w:tcPr>
          <w:p w14:paraId="365A84EE"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r>
      <w:tr w:rsidR="009F762E" w:rsidRPr="00B1210D" w14:paraId="49F08D41" w14:textId="77777777" w:rsidTr="0054533D">
        <w:trPr>
          <w:cantSplit/>
          <w:trHeight w:val="964"/>
          <w:jc w:val="center"/>
        </w:trPr>
        <w:tc>
          <w:tcPr>
            <w:tcW w:w="1139" w:type="dxa"/>
            <w:vAlign w:val="center"/>
          </w:tcPr>
          <w:p w14:paraId="2BFE31D6"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Resultados del Ejercicio</w:t>
            </w:r>
          </w:p>
        </w:tc>
        <w:tc>
          <w:tcPr>
            <w:tcW w:w="840" w:type="dxa"/>
            <w:vAlign w:val="center"/>
          </w:tcPr>
          <w:p w14:paraId="51CAA4CD"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-42.024</w:t>
            </w:r>
          </w:p>
        </w:tc>
        <w:tc>
          <w:tcPr>
            <w:tcW w:w="839" w:type="dxa"/>
            <w:vAlign w:val="center"/>
          </w:tcPr>
          <w:p w14:paraId="66211FF1"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-64.873</w:t>
            </w:r>
          </w:p>
        </w:tc>
        <w:tc>
          <w:tcPr>
            <w:tcW w:w="840" w:type="dxa"/>
            <w:vAlign w:val="center"/>
          </w:tcPr>
          <w:p w14:paraId="1FD347BB"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-75.145</w:t>
            </w:r>
          </w:p>
        </w:tc>
        <w:tc>
          <w:tcPr>
            <w:tcW w:w="838" w:type="dxa"/>
            <w:vAlign w:val="center"/>
          </w:tcPr>
          <w:p w14:paraId="077388FC"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-80.308</w:t>
            </w:r>
          </w:p>
        </w:tc>
        <w:tc>
          <w:tcPr>
            <w:tcW w:w="840" w:type="dxa"/>
            <w:vAlign w:val="center"/>
          </w:tcPr>
          <w:p w14:paraId="765AD9ED"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-106.269</w:t>
            </w:r>
          </w:p>
        </w:tc>
        <w:tc>
          <w:tcPr>
            <w:tcW w:w="839" w:type="dxa"/>
            <w:vAlign w:val="center"/>
          </w:tcPr>
          <w:p w14:paraId="166743A6"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-85.663</w:t>
            </w:r>
          </w:p>
        </w:tc>
        <w:tc>
          <w:tcPr>
            <w:tcW w:w="839" w:type="dxa"/>
            <w:vAlign w:val="center"/>
          </w:tcPr>
          <w:p w14:paraId="129AF62C"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-103.488</w:t>
            </w:r>
          </w:p>
        </w:tc>
        <w:tc>
          <w:tcPr>
            <w:tcW w:w="839" w:type="dxa"/>
            <w:vAlign w:val="center"/>
          </w:tcPr>
          <w:p w14:paraId="5DE2B8AB"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-109.059</w:t>
            </w:r>
          </w:p>
        </w:tc>
        <w:tc>
          <w:tcPr>
            <w:tcW w:w="840" w:type="dxa"/>
            <w:vAlign w:val="center"/>
          </w:tcPr>
          <w:p w14:paraId="5DD36B49"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-87.527</w:t>
            </w:r>
          </w:p>
        </w:tc>
        <w:tc>
          <w:tcPr>
            <w:tcW w:w="839" w:type="dxa"/>
            <w:vAlign w:val="center"/>
          </w:tcPr>
          <w:p w14:paraId="12C7B054"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-106.100</w:t>
            </w:r>
          </w:p>
        </w:tc>
        <w:tc>
          <w:tcPr>
            <w:tcW w:w="839" w:type="dxa"/>
            <w:vAlign w:val="center"/>
          </w:tcPr>
          <w:p w14:paraId="11C45412"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-82.544</w:t>
            </w:r>
          </w:p>
        </w:tc>
        <w:tc>
          <w:tcPr>
            <w:tcW w:w="839" w:type="dxa"/>
            <w:vAlign w:val="center"/>
          </w:tcPr>
          <w:p w14:paraId="33D9E9F1"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-90.940</w:t>
            </w:r>
          </w:p>
        </w:tc>
      </w:tr>
      <w:tr w:rsidR="009F762E" w:rsidRPr="00B1210D" w14:paraId="57B75552" w14:textId="77777777" w:rsidTr="0054533D">
        <w:trPr>
          <w:cantSplit/>
          <w:trHeight w:val="642"/>
          <w:jc w:val="center"/>
        </w:trPr>
        <w:tc>
          <w:tcPr>
            <w:tcW w:w="1139" w:type="dxa"/>
            <w:vAlign w:val="center"/>
          </w:tcPr>
          <w:p w14:paraId="2C67D420"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Total Patrimonio</w:t>
            </w:r>
          </w:p>
        </w:tc>
        <w:tc>
          <w:tcPr>
            <w:tcW w:w="840" w:type="dxa"/>
            <w:vAlign w:val="center"/>
          </w:tcPr>
          <w:p w14:paraId="26419D7A"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67.239</w:t>
            </w:r>
          </w:p>
        </w:tc>
        <w:tc>
          <w:tcPr>
            <w:tcW w:w="839" w:type="dxa"/>
            <w:vAlign w:val="center"/>
          </w:tcPr>
          <w:p w14:paraId="3E432098"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44.390</w:t>
            </w:r>
          </w:p>
        </w:tc>
        <w:tc>
          <w:tcPr>
            <w:tcW w:w="840" w:type="dxa"/>
            <w:vAlign w:val="center"/>
          </w:tcPr>
          <w:p w14:paraId="304647CD"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34.118</w:t>
            </w:r>
          </w:p>
        </w:tc>
        <w:tc>
          <w:tcPr>
            <w:tcW w:w="838" w:type="dxa"/>
            <w:vAlign w:val="center"/>
          </w:tcPr>
          <w:p w14:paraId="133D627C"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28.955</w:t>
            </w:r>
          </w:p>
        </w:tc>
        <w:tc>
          <w:tcPr>
            <w:tcW w:w="840" w:type="dxa"/>
            <w:vAlign w:val="center"/>
          </w:tcPr>
          <w:p w14:paraId="34F7EED0"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2.994</w:t>
            </w:r>
          </w:p>
        </w:tc>
        <w:tc>
          <w:tcPr>
            <w:tcW w:w="839" w:type="dxa"/>
            <w:vAlign w:val="center"/>
          </w:tcPr>
          <w:p w14:paraId="26916B25"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23.600</w:t>
            </w:r>
          </w:p>
        </w:tc>
        <w:tc>
          <w:tcPr>
            <w:tcW w:w="839" w:type="dxa"/>
            <w:vAlign w:val="center"/>
          </w:tcPr>
          <w:p w14:paraId="33C82C28"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5.775</w:t>
            </w:r>
          </w:p>
        </w:tc>
        <w:tc>
          <w:tcPr>
            <w:tcW w:w="839" w:type="dxa"/>
            <w:vAlign w:val="center"/>
          </w:tcPr>
          <w:p w14:paraId="2152B979"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204</w:t>
            </w:r>
          </w:p>
        </w:tc>
        <w:tc>
          <w:tcPr>
            <w:tcW w:w="840" w:type="dxa"/>
            <w:vAlign w:val="center"/>
          </w:tcPr>
          <w:p w14:paraId="7DA2209C"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21.736</w:t>
            </w:r>
          </w:p>
        </w:tc>
        <w:tc>
          <w:tcPr>
            <w:tcW w:w="839" w:type="dxa"/>
            <w:vAlign w:val="center"/>
          </w:tcPr>
          <w:p w14:paraId="4FC9EFB7"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3.163</w:t>
            </w:r>
          </w:p>
        </w:tc>
        <w:tc>
          <w:tcPr>
            <w:tcW w:w="839" w:type="dxa"/>
            <w:vAlign w:val="center"/>
          </w:tcPr>
          <w:p w14:paraId="10FE20D1"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26.719</w:t>
            </w:r>
          </w:p>
        </w:tc>
        <w:tc>
          <w:tcPr>
            <w:tcW w:w="839" w:type="dxa"/>
            <w:vAlign w:val="center"/>
          </w:tcPr>
          <w:p w14:paraId="003DA388" w14:textId="77777777" w:rsidR="009F762E" w:rsidRPr="00B1210D" w:rsidRDefault="00000000" w:rsidP="002A0E52">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18.323</w:t>
            </w:r>
          </w:p>
        </w:tc>
      </w:tr>
    </w:tbl>
    <w:p w14:paraId="2F511E7B" w14:textId="77777777" w:rsidR="009F762E" w:rsidRPr="00B1210D" w:rsidRDefault="00000000" w:rsidP="002A0E52">
      <w:pPr>
        <w:spacing w:line="360" w:lineRule="auto"/>
        <w:jc w:val="both"/>
        <w:rPr>
          <w:rFonts w:ascii="Arial" w:hAnsi="Arial" w:cs="Arial"/>
          <w:color w:val="000000" w:themeColor="text1"/>
          <w:sz w:val="16"/>
          <w:szCs w:val="16"/>
        </w:rPr>
      </w:pPr>
      <w:r w:rsidRPr="00B1210D">
        <w:rPr>
          <w:rFonts w:ascii="Arial" w:eastAsia="Arial" w:hAnsi="Arial" w:cs="Arial"/>
          <w:color w:val="000000"/>
          <w:sz w:val="16"/>
          <w:szCs w:val="16"/>
        </w:rPr>
        <w:t xml:space="preserve">Fuente:  Formato FT001 – Información financiera reportada (corte enero a diciembre 2025). </w:t>
      </w:r>
      <w:hyperlink r:id="rId26" w:anchor="/datos-abiertos/search?groupIds=9a4d8d6e18a94ad4a633ef878e6c638d&amp;q=2025" w:history="1">
        <w:r w:rsidRPr="00B1210D">
          <w:rPr>
            <w:rStyle w:val="Hipervnculo"/>
            <w:rFonts w:ascii="Arial" w:eastAsia="Arial" w:hAnsi="Arial" w:cs="Arial"/>
            <w:color w:val="000000"/>
            <w:sz w:val="16"/>
            <w:szCs w:val="16"/>
          </w:rPr>
          <w:t>https://mapas.supersalud.gov.co/arcgisportal/apps/sites/#/datos-abiertos/search?groupIds=9a4d8d6e18a94ad4a633ef878e6c638d&amp;q=2025</w:t>
        </w:r>
      </w:hyperlink>
    </w:p>
    <w:p w14:paraId="560B27EE"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0507A7BC"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El patrimonio presenta deterioro durante el periodo: pasa de $67.239 millones en enero de 2025 a $18.323 millones en diciembre de 2025. Aunque se mantiene positivo al cierre de la vigencia, la reducción acumulada refleja pérdida de solvencia, menor capacidad de respaldo patrimonial y exposición a riesgos financieros asociados al crecimiento de pasivos y a resultados negativos del ejercicio. Esta situación exige seguimiento estrecho, plan de recuperación patrimonial y medidas de contención sobre los determinantes operativos que presionan reservas, cuentas por pagar y gasto asistencial.</w:t>
      </w:r>
    </w:p>
    <w:p w14:paraId="11BA9BB6" w14:textId="77777777" w:rsidR="009F762E" w:rsidRPr="00242DFB" w:rsidRDefault="009F762E" w:rsidP="002A0E52">
      <w:pPr>
        <w:shd w:val="clear" w:color="auto" w:fill="FFFFFF" w:themeFill="background1"/>
        <w:spacing w:line="360" w:lineRule="auto"/>
        <w:jc w:val="both"/>
        <w:rPr>
          <w:rFonts w:ascii="Arial" w:eastAsia="Arial" w:hAnsi="Arial" w:cs="Arial"/>
          <w:b/>
          <w:bCs/>
          <w:color w:val="000000" w:themeColor="text1"/>
        </w:rPr>
      </w:pPr>
    </w:p>
    <w:p w14:paraId="3EF44260" w14:textId="5FF268CC" w:rsidR="009F762E" w:rsidRPr="00171EA9" w:rsidRDefault="00000000" w:rsidP="00171EA9">
      <w:pPr>
        <w:pStyle w:val="Ttulo2"/>
        <w:numPr>
          <w:ilvl w:val="1"/>
          <w:numId w:val="7"/>
        </w:numPr>
        <w:spacing w:before="0" w:line="360" w:lineRule="auto"/>
        <w:rPr>
          <w:rFonts w:ascii="Arial" w:hAnsi="Arial" w:cs="Arial"/>
          <w:b/>
          <w:bCs/>
          <w:color w:val="000000" w:themeColor="text1"/>
          <w:sz w:val="24"/>
          <w:szCs w:val="24"/>
        </w:rPr>
      </w:pPr>
      <w:r w:rsidRPr="00171EA9">
        <w:rPr>
          <w:rFonts w:ascii="Arial" w:hAnsi="Arial" w:cs="Arial"/>
          <w:b/>
          <w:bCs/>
          <w:color w:val="000000" w:themeColor="text1"/>
          <w:sz w:val="24"/>
          <w:szCs w:val="24"/>
        </w:rPr>
        <w:t>Reservas técnicas y cuentas por pagar</w:t>
      </w:r>
    </w:p>
    <w:p w14:paraId="3BA32BA0" w14:textId="77777777" w:rsidR="009F762E" w:rsidRPr="00242DFB" w:rsidRDefault="009F762E" w:rsidP="002A0E52">
      <w:pPr>
        <w:spacing w:line="360" w:lineRule="auto"/>
        <w:rPr>
          <w:rFonts w:ascii="Arial" w:hAnsi="Arial" w:cs="Arial"/>
          <w:color w:val="000000" w:themeColor="text1"/>
        </w:rPr>
      </w:pPr>
    </w:p>
    <w:p w14:paraId="7DCD6F4A"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hAnsi="Arial" w:cs="Arial"/>
          <w:color w:val="000000"/>
        </w:rPr>
        <w:t>Según las cifras reportadas por Capital Salud EPS-S en el formato FT001 a diciembre de 2025, el incremento de las cuentas por pagar y demás obligaciones contractuales con prestadores y proveedores presiona la suficiencia de reservas técnicas y exige seguimiento sobre el respaldo financiero de las obligaciones causadas.</w:t>
      </w:r>
    </w:p>
    <w:p w14:paraId="4D3365BD" w14:textId="77777777" w:rsidR="009F762E" w:rsidRPr="00242DFB" w:rsidRDefault="00000000" w:rsidP="002A0E52">
      <w:pPr>
        <w:spacing w:line="360" w:lineRule="auto"/>
        <w:rPr>
          <w:rFonts w:ascii="Arial" w:hAnsi="Arial" w:cs="Arial"/>
          <w:color w:val="000000" w:themeColor="text1"/>
        </w:rPr>
      </w:pPr>
      <w:r w:rsidRPr="00242DFB">
        <w:rPr>
          <w:rFonts w:ascii="Arial" w:hAnsi="Arial" w:cs="Arial"/>
          <w:color w:val="000000"/>
        </w:rPr>
        <w:t xml:space="preserve"> </w:t>
      </w:r>
    </w:p>
    <w:p w14:paraId="00FDF85D" w14:textId="2D54433E" w:rsidR="009F762E" w:rsidRPr="00242DFB" w:rsidRDefault="00171EA9" w:rsidP="002A0E52">
      <w:pPr>
        <w:spacing w:line="360" w:lineRule="auto"/>
        <w:jc w:val="center"/>
        <w:rPr>
          <w:rFonts w:ascii="Arial" w:eastAsia="Arial" w:hAnsi="Arial" w:cs="Arial"/>
          <w:color w:val="000000" w:themeColor="text1"/>
        </w:rPr>
      </w:pPr>
      <w:r w:rsidRPr="00242DFB">
        <w:rPr>
          <w:rFonts w:ascii="Arial" w:hAnsi="Arial" w:cs="Arial"/>
          <w:noProof/>
          <w:color w:val="000000"/>
        </w:rPr>
        <w:lastRenderedPageBreak/>
        <w:drawing>
          <wp:anchor distT="0" distB="0" distL="114300" distR="114300" simplePos="0" relativeHeight="251668992" behindDoc="0" locked="0" layoutInCell="1" allowOverlap="1" wp14:anchorId="29D2D311" wp14:editId="60AFE710">
            <wp:simplePos x="0" y="0"/>
            <wp:positionH relativeFrom="column">
              <wp:posOffset>-594360</wp:posOffset>
            </wp:positionH>
            <wp:positionV relativeFrom="paragraph">
              <wp:posOffset>423545</wp:posOffset>
            </wp:positionV>
            <wp:extent cx="7067550" cy="3800475"/>
            <wp:effectExtent l="0" t="0" r="0" b="0"/>
            <wp:wrapSquare wrapText="bothSides"/>
            <wp:docPr id="8"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margin">
              <wp14:pctWidth>0</wp14:pctWidth>
            </wp14:sizeRelH>
          </wp:anchor>
        </w:drawing>
      </w:r>
      <w:r>
        <w:rPr>
          <w:noProof/>
        </w:rPr>
        <mc:AlternateContent>
          <mc:Choice Requires="wps">
            <w:drawing>
              <wp:anchor distT="0" distB="0" distL="114300" distR="114300" simplePos="0" relativeHeight="251671040" behindDoc="0" locked="0" layoutInCell="1" allowOverlap="1" wp14:anchorId="09CCE3AA" wp14:editId="5A517BB4">
                <wp:simplePos x="0" y="0"/>
                <wp:positionH relativeFrom="column">
                  <wp:posOffset>-594360</wp:posOffset>
                </wp:positionH>
                <wp:positionV relativeFrom="paragraph">
                  <wp:posOffset>0</wp:posOffset>
                </wp:positionV>
                <wp:extent cx="7067550" cy="457200"/>
                <wp:effectExtent l="0" t="0" r="0" b="0"/>
                <wp:wrapSquare wrapText="bothSides"/>
                <wp:docPr id="27" name="Cuadro de texto 27"/>
                <wp:cNvGraphicFramePr/>
                <a:graphic xmlns:a="http://schemas.openxmlformats.org/drawingml/2006/main">
                  <a:graphicData uri="http://schemas.microsoft.com/office/word/2010/wordprocessingShape">
                    <wps:wsp>
                      <wps:cNvSpPr txBox="1"/>
                      <wps:spPr>
                        <a:xfrm>
                          <a:off x="0" y="0"/>
                          <a:ext cx="7067550" cy="457200"/>
                        </a:xfrm>
                        <a:prstGeom prst="rect">
                          <a:avLst/>
                        </a:prstGeom>
                        <a:solidFill>
                          <a:prstClr val="white"/>
                        </a:solidFill>
                        <a:ln>
                          <a:noFill/>
                        </a:ln>
                      </wps:spPr>
                      <wps:txbx>
                        <w:txbxContent>
                          <w:p w14:paraId="7BBDBA08" w14:textId="2D5081FD" w:rsidR="00171EA9" w:rsidRPr="001544BD" w:rsidRDefault="00171EA9" w:rsidP="00171EA9">
                            <w:pPr>
                              <w:pStyle w:val="Descripcin"/>
                              <w:jc w:val="center"/>
                              <w:rPr>
                                <w:rFonts w:ascii="Arial" w:hAnsi="Arial" w:cs="Arial"/>
                                <w:noProof/>
                                <w:color w:val="000000" w:themeColor="text1"/>
                                <w:sz w:val="22"/>
                                <w:szCs w:val="22"/>
                              </w:rPr>
                            </w:pPr>
                            <w:r w:rsidRPr="001544BD">
                              <w:rPr>
                                <w:rFonts w:ascii="Arial" w:hAnsi="Arial" w:cs="Arial"/>
                                <w:color w:val="000000" w:themeColor="text1"/>
                                <w:sz w:val="22"/>
                                <w:szCs w:val="22"/>
                              </w:rPr>
                              <w:t xml:space="preserve">Gráfica </w:t>
                            </w:r>
                            <w:r w:rsidRPr="001544BD">
                              <w:rPr>
                                <w:rFonts w:ascii="Arial" w:hAnsi="Arial" w:cs="Arial"/>
                                <w:color w:val="000000" w:themeColor="text1"/>
                                <w:sz w:val="22"/>
                                <w:szCs w:val="22"/>
                              </w:rPr>
                              <w:fldChar w:fldCharType="begin"/>
                            </w:r>
                            <w:r w:rsidRPr="001544BD">
                              <w:rPr>
                                <w:rFonts w:ascii="Arial" w:hAnsi="Arial" w:cs="Arial"/>
                                <w:color w:val="000000" w:themeColor="text1"/>
                                <w:sz w:val="22"/>
                                <w:szCs w:val="22"/>
                              </w:rPr>
                              <w:instrText xml:space="preserve"> SEQ Gráfica \* ARABIC </w:instrText>
                            </w:r>
                            <w:r w:rsidRPr="001544BD">
                              <w:rPr>
                                <w:rFonts w:ascii="Arial" w:hAnsi="Arial" w:cs="Arial"/>
                                <w:color w:val="000000" w:themeColor="text1"/>
                                <w:sz w:val="22"/>
                                <w:szCs w:val="22"/>
                              </w:rPr>
                              <w:fldChar w:fldCharType="separate"/>
                            </w:r>
                            <w:r w:rsidR="004F456A">
                              <w:rPr>
                                <w:rFonts w:ascii="Arial" w:hAnsi="Arial" w:cs="Arial"/>
                                <w:noProof/>
                                <w:color w:val="000000" w:themeColor="text1"/>
                                <w:sz w:val="22"/>
                                <w:szCs w:val="22"/>
                              </w:rPr>
                              <w:t>6</w:t>
                            </w:r>
                            <w:r w:rsidRPr="001544BD">
                              <w:rPr>
                                <w:rFonts w:ascii="Arial" w:hAnsi="Arial" w:cs="Arial"/>
                                <w:color w:val="000000" w:themeColor="text1"/>
                                <w:sz w:val="22"/>
                                <w:szCs w:val="22"/>
                              </w:rPr>
                              <w:fldChar w:fldCharType="end"/>
                            </w:r>
                            <w:r w:rsidRPr="001544BD">
                              <w:rPr>
                                <w:rFonts w:ascii="Arial" w:hAnsi="Arial" w:cs="Arial"/>
                                <w:color w:val="000000" w:themeColor="text1"/>
                                <w:sz w:val="22"/>
                                <w:szCs w:val="22"/>
                              </w:rPr>
                              <w:t xml:space="preserve">. Cuentas por pagar y total de pasivos </w:t>
                            </w:r>
                            <w:r w:rsidR="001544BD" w:rsidRPr="001544BD">
                              <w:rPr>
                                <w:rFonts w:ascii="Arial" w:hAnsi="Arial" w:cs="Arial"/>
                                <w:color w:val="000000" w:themeColor="text1"/>
                                <w:sz w:val="22"/>
                                <w:szCs w:val="22"/>
                              </w:rPr>
                              <w:t>(cifras</w:t>
                            </w:r>
                            <w:r w:rsidRPr="001544BD">
                              <w:rPr>
                                <w:rFonts w:ascii="Arial" w:hAnsi="Arial" w:cs="Arial"/>
                                <w:color w:val="000000" w:themeColor="text1"/>
                                <w:sz w:val="22"/>
                                <w:szCs w:val="22"/>
                              </w:rPr>
                              <w:t xml:space="preserve"> en millones de pesos colombianos)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9CCE3AA" id="Cuadro de texto 27" o:spid="_x0000_s1030" type="#_x0000_t202" style="position:absolute;left:0;text-align:left;margin-left:-46.8pt;margin-top:0;width:556.5pt;height:36pt;z-index:251671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" stroked="f">
                <v:textbox inset="0,0,0,0">
                  <w:txbxContent>
                    <w:p w14:paraId="7BBDBA08" w14:textId="2D5081FD" w:rsidR="00171EA9" w:rsidRPr="001544BD" w:rsidRDefault="00171EA9" w:rsidP="00171EA9">
                      <w:pPr>
                        <w:pStyle w:val="Descripcin"/>
                        <w:jc w:val="center"/>
                        <w:rPr>
                          <w:rFonts w:ascii="Arial" w:hAnsi="Arial" w:cs="Arial"/>
                          <w:noProof/>
                          <w:color w:val="000000" w:themeColor="text1"/>
                          <w:sz w:val="22"/>
                          <w:szCs w:val="22"/>
                        </w:rPr>
                      </w:pPr>
                      <w:r w:rsidRPr="001544BD">
                        <w:rPr>
                          <w:rFonts w:ascii="Arial" w:hAnsi="Arial" w:cs="Arial"/>
                          <w:color w:val="000000" w:themeColor="text1"/>
                          <w:sz w:val="22"/>
                          <w:szCs w:val="22"/>
                        </w:rPr>
                        <w:t xml:space="preserve">Gráfica </w:t>
                      </w:r>
                      <w:r w:rsidRPr="001544BD">
                        <w:rPr>
                          <w:rFonts w:ascii="Arial" w:hAnsi="Arial" w:cs="Arial"/>
                          <w:color w:val="000000" w:themeColor="text1"/>
                          <w:sz w:val="22"/>
                          <w:szCs w:val="22"/>
                        </w:rPr>
                        <w:fldChar w:fldCharType="begin"/>
                      </w:r>
                      <w:r w:rsidRPr="001544BD">
                        <w:rPr>
                          <w:rFonts w:ascii="Arial" w:hAnsi="Arial" w:cs="Arial"/>
                          <w:color w:val="000000" w:themeColor="text1"/>
                          <w:sz w:val="22"/>
                          <w:szCs w:val="22"/>
                        </w:rPr>
                        <w:instrText xml:space="preserve"> SEQ Gráfica \* ARABIC </w:instrText>
                      </w:r>
                      <w:r w:rsidRPr="001544BD">
                        <w:rPr>
                          <w:rFonts w:ascii="Arial" w:hAnsi="Arial" w:cs="Arial"/>
                          <w:color w:val="000000" w:themeColor="text1"/>
                          <w:sz w:val="22"/>
                          <w:szCs w:val="22"/>
                        </w:rPr>
                        <w:fldChar w:fldCharType="separate"/>
                      </w:r>
                      <w:r w:rsidR="004F456A">
                        <w:rPr>
                          <w:rFonts w:ascii="Arial" w:hAnsi="Arial" w:cs="Arial"/>
                          <w:noProof/>
                          <w:color w:val="000000" w:themeColor="text1"/>
                          <w:sz w:val="22"/>
                          <w:szCs w:val="22"/>
                        </w:rPr>
                        <w:t>6</w:t>
                      </w:r>
                      <w:r w:rsidRPr="001544BD">
                        <w:rPr>
                          <w:rFonts w:ascii="Arial" w:hAnsi="Arial" w:cs="Arial"/>
                          <w:color w:val="000000" w:themeColor="text1"/>
                          <w:sz w:val="22"/>
                          <w:szCs w:val="22"/>
                        </w:rPr>
                        <w:fldChar w:fldCharType="end"/>
                      </w:r>
                      <w:r w:rsidRPr="001544BD">
                        <w:rPr>
                          <w:rFonts w:ascii="Arial" w:hAnsi="Arial" w:cs="Arial"/>
                          <w:color w:val="000000" w:themeColor="text1"/>
                          <w:sz w:val="22"/>
                          <w:szCs w:val="22"/>
                        </w:rPr>
                        <w:t xml:space="preserve">. Cuentas por pagar y total de pasivos </w:t>
                      </w:r>
                      <w:r w:rsidR="001544BD" w:rsidRPr="001544BD">
                        <w:rPr>
                          <w:rFonts w:ascii="Arial" w:hAnsi="Arial" w:cs="Arial"/>
                          <w:color w:val="000000" w:themeColor="text1"/>
                          <w:sz w:val="22"/>
                          <w:szCs w:val="22"/>
                        </w:rPr>
                        <w:t>(cifras</w:t>
                      </w:r>
                      <w:r w:rsidRPr="001544BD">
                        <w:rPr>
                          <w:rFonts w:ascii="Arial" w:hAnsi="Arial" w:cs="Arial"/>
                          <w:color w:val="000000" w:themeColor="text1"/>
                          <w:sz w:val="22"/>
                          <w:szCs w:val="22"/>
                        </w:rPr>
                        <w:t xml:space="preserve"> en millones de pesos colombianos)</w:t>
                      </w:r>
                    </w:p>
                  </w:txbxContent>
                </v:textbox>
                <w10:wrap type="square"/>
              </v:shape>
            </w:pict>
          </mc:Fallback>
        </mc:AlternateContent>
      </w:r>
    </w:p>
    <w:p w14:paraId="2A2DBC29" w14:textId="77777777" w:rsidR="009F762E" w:rsidRPr="00171EA9" w:rsidRDefault="00000000" w:rsidP="002A0E52">
      <w:pPr>
        <w:spacing w:line="360" w:lineRule="auto"/>
        <w:rPr>
          <w:rFonts w:ascii="Arial" w:hAnsi="Arial" w:cs="Arial"/>
          <w:color w:val="000000" w:themeColor="text1"/>
          <w:sz w:val="16"/>
          <w:szCs w:val="16"/>
        </w:rPr>
      </w:pPr>
      <w:r w:rsidRPr="00171EA9">
        <w:rPr>
          <w:rFonts w:ascii="Arial" w:eastAsia="Arial" w:hAnsi="Arial" w:cs="Arial"/>
          <w:color w:val="000000"/>
          <w:sz w:val="16"/>
          <w:szCs w:val="16"/>
        </w:rPr>
        <w:t xml:space="preserve">Fuente: Capital Salud EPS-S. Formato FT001 – Información financiera reportada (corte enero a diciembre de 2025). </w:t>
      </w:r>
    </w:p>
    <w:p w14:paraId="37984976" w14:textId="77777777" w:rsidR="009F762E" w:rsidRPr="00242DFB" w:rsidRDefault="00000000" w:rsidP="002A0E52">
      <w:pPr>
        <w:spacing w:line="360" w:lineRule="auto"/>
        <w:rPr>
          <w:rFonts w:ascii="Arial" w:hAnsi="Arial" w:cs="Arial"/>
          <w:color w:val="000000" w:themeColor="text1"/>
        </w:rPr>
      </w:pPr>
      <w:r w:rsidRPr="00242DFB">
        <w:rPr>
          <w:rFonts w:ascii="Arial" w:hAnsi="Arial" w:cs="Arial"/>
          <w:color w:val="000000"/>
        </w:rPr>
        <w:t xml:space="preserve"> </w:t>
      </w:r>
    </w:p>
    <w:p w14:paraId="68470DAB"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Las obligaciones totales de Capital Salud EPS-S, comparadas entre enero y diciembre de 2025, se incrementaron en $62.539 millones, alcanzando a diciembre un saldo total de $466.797 millones. Este crecimiento del pasivo, particularmente en obligaciones con proveedores y prestadores, constituye una señal de alerta sobre la estabilidad financiera de la entidad y su capacidad de mantener flujo oportuno hacia la red contratada.</w:t>
      </w:r>
    </w:p>
    <w:p w14:paraId="08E43A88"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 </w:t>
      </w:r>
    </w:p>
    <w:p w14:paraId="36A62BFA"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El aumento sostenido de las cuentas por pagar no solo afecta el flujo de recursos hacia las Instituciones Prestadoras de Servicios de Salud (IPS), sino que compromete directamente el cumplimiento de la misionalidad asignada por la ley a las Entidades Administradoras de Planes de Beneficios (EAPB). En el marco de lo establecido en la Ley 100 de 1993 y la Ley 1438 de 2011, las EAPB tienen como </w:t>
      </w:r>
      <w:r w:rsidRPr="00242DFB">
        <w:rPr>
          <w:rFonts w:ascii="Arial" w:eastAsia="Arial" w:hAnsi="Arial" w:cs="Arial"/>
          <w:color w:val="000000"/>
        </w:rPr>
        <w:lastRenderedPageBreak/>
        <w:t xml:space="preserve">función esencial la garantía del aseguramiento en salud, la administración del riesgo en salud, la gestión integral del riesgo en salud de su población afiliada. </w:t>
      </w:r>
    </w:p>
    <w:p w14:paraId="1FF1F4FB"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 </w:t>
      </w:r>
    </w:p>
    <w:p w14:paraId="20500EE3"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En este sentido, el crecimiento de la deuda impacta la viabilidad integral de la entidad, en la medida en que compromete su capacidad para administrar adecuadamente la Unidad de Pago por Capitación (UPC), cumplir con sus obligaciones contractuales con la red prestadora y mantener reservas técnicas suficientes para respaldar el riesgo asumido. La insuficiencia en el flujo de recursos hacia las IPS puede generar desarticulación de la red, suspensión de servicios y aumento del riesgo en salud de la población afiliada.</w:t>
      </w:r>
    </w:p>
    <w:p w14:paraId="3A57DBCE" w14:textId="77777777" w:rsidR="009F762E" w:rsidRPr="00242DFB" w:rsidRDefault="009F762E" w:rsidP="002A0E52">
      <w:pPr>
        <w:spacing w:line="360" w:lineRule="auto"/>
        <w:jc w:val="both"/>
        <w:rPr>
          <w:rFonts w:ascii="Arial" w:eastAsia="Arial" w:hAnsi="Arial" w:cs="Arial"/>
          <w:color w:val="000000" w:themeColor="text1"/>
        </w:rPr>
      </w:pPr>
    </w:p>
    <w:p w14:paraId="5798304C" w14:textId="73150518" w:rsidR="009F762E" w:rsidRPr="008F6E67" w:rsidRDefault="00000000" w:rsidP="008F6E67">
      <w:pPr>
        <w:pStyle w:val="Ttulo2"/>
        <w:numPr>
          <w:ilvl w:val="1"/>
          <w:numId w:val="7"/>
        </w:numPr>
        <w:spacing w:before="0" w:line="360" w:lineRule="auto"/>
        <w:rPr>
          <w:rFonts w:ascii="Arial" w:hAnsi="Arial" w:cs="Arial"/>
          <w:b/>
          <w:bCs/>
          <w:color w:val="000000" w:themeColor="text1"/>
          <w:sz w:val="24"/>
          <w:szCs w:val="24"/>
        </w:rPr>
      </w:pPr>
      <w:r w:rsidRPr="008F6E67">
        <w:rPr>
          <w:rFonts w:ascii="Arial" w:hAnsi="Arial" w:cs="Arial"/>
          <w:b/>
          <w:bCs/>
          <w:color w:val="000000" w:themeColor="text1"/>
          <w:sz w:val="24"/>
          <w:szCs w:val="24"/>
        </w:rPr>
        <w:t>Indicador de siniestralidad</w:t>
      </w:r>
    </w:p>
    <w:p w14:paraId="0481B1E0" w14:textId="77777777" w:rsidR="009F762E" w:rsidRPr="00242DFB" w:rsidRDefault="009F762E" w:rsidP="002A0E52">
      <w:pPr>
        <w:spacing w:line="360" w:lineRule="auto"/>
        <w:rPr>
          <w:rFonts w:ascii="Arial" w:hAnsi="Arial" w:cs="Arial"/>
          <w:color w:val="000000" w:themeColor="text1"/>
        </w:rPr>
      </w:pPr>
    </w:p>
    <w:p w14:paraId="7E917ED1" w14:textId="77777777" w:rsidR="009F762E" w:rsidRDefault="00000000" w:rsidP="002A0E52">
      <w:pPr>
        <w:spacing w:line="360" w:lineRule="auto"/>
        <w:jc w:val="both"/>
        <w:rPr>
          <w:rFonts w:ascii="Arial" w:eastAsia="Arial" w:hAnsi="Arial" w:cs="Arial"/>
          <w:color w:val="000000"/>
        </w:rPr>
      </w:pPr>
      <w:r w:rsidRPr="00242DFB">
        <w:rPr>
          <w:rFonts w:ascii="Arial" w:eastAsia="Arial" w:hAnsi="Arial" w:cs="Arial"/>
          <w:color w:val="000000"/>
        </w:rPr>
        <w:t>En esta sección se analiza el indicador de siniestralidad como una medida clave del equilibrio técnico-financiero de la EPS, al relacionar el costo de los servicios y tecnologías en salud financiados con los ingresos reconocidos por Unidad de Pago por Capitación (UPC). Su seguimiento permite identificar presiones sobre la sostenibilidad, la constitución de reservas y el flujo de recursos hacia la red prestadora. De acuerdo con la Gráfica 7, la siniestralidad de Capital Salud EPS-S presenta valores persistentemente superiores al 100% durante 2025 y cierra diciembre en 103,42%, lo que refleja que el gasto en salud supera los ingresos por UPC y configura un desequilibrio con implicaciones directas en liquidez, pago oportuno y continuidad de la atención.</w:t>
      </w:r>
    </w:p>
    <w:p w14:paraId="0B8567F4" w14:textId="7F45D938" w:rsidR="009F762E" w:rsidRPr="00AC3703" w:rsidRDefault="0092688D" w:rsidP="00AC3703">
      <w:pPr>
        <w:spacing w:line="360" w:lineRule="auto"/>
        <w:rPr>
          <w:rFonts w:ascii="Arial" w:hAnsi="Arial" w:cs="Arial"/>
        </w:rPr>
      </w:pPr>
      <w:r>
        <w:rPr>
          <w:noProof/>
        </w:rPr>
        <w:lastRenderedPageBreak/>
        <w:drawing>
          <wp:anchor distT="0" distB="0" distL="114300" distR="114300" simplePos="0" relativeHeight="251672064" behindDoc="0" locked="0" layoutInCell="1" allowOverlap="1" wp14:anchorId="1F25AFE6" wp14:editId="7D8D5C41">
            <wp:simplePos x="0" y="0"/>
            <wp:positionH relativeFrom="column">
              <wp:posOffset>-203835</wp:posOffset>
            </wp:positionH>
            <wp:positionV relativeFrom="paragraph">
              <wp:posOffset>4445</wp:posOffset>
            </wp:positionV>
            <wp:extent cx="6153150" cy="3724275"/>
            <wp:effectExtent l="0" t="0" r="0" b="0"/>
            <wp:wrapSquare wrapText="bothSides"/>
            <wp:docPr id="28" name="Gráfico 28">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V relativeFrom="margin">
              <wp14:pctHeight>0</wp14:pctHeight>
            </wp14:sizeRelV>
          </wp:anchor>
        </w:drawing>
      </w:r>
      <w:r>
        <w:rPr>
          <w:noProof/>
        </w:rPr>
        <mc:AlternateContent>
          <mc:Choice Requires="wps">
            <w:drawing>
              <wp:anchor distT="0" distB="0" distL="114300" distR="114300" simplePos="0" relativeHeight="251674112" behindDoc="0" locked="0" layoutInCell="1" allowOverlap="1" wp14:anchorId="3F6FF4A5" wp14:editId="1D1AEFAC">
                <wp:simplePos x="0" y="0"/>
                <wp:positionH relativeFrom="column">
                  <wp:posOffset>-203835</wp:posOffset>
                </wp:positionH>
                <wp:positionV relativeFrom="paragraph">
                  <wp:posOffset>0</wp:posOffset>
                </wp:positionV>
                <wp:extent cx="6153150" cy="457200"/>
                <wp:effectExtent l="0" t="0" r="0" b="0"/>
                <wp:wrapSquare wrapText="bothSides"/>
                <wp:docPr id="29" name="Cuadro de texto 29"/>
                <wp:cNvGraphicFramePr/>
                <a:graphic xmlns:a="http://schemas.openxmlformats.org/drawingml/2006/main">
                  <a:graphicData uri="http://schemas.microsoft.com/office/word/2010/wordprocessingShape">
                    <wps:wsp>
                      <wps:cNvSpPr txBox="1"/>
                      <wps:spPr>
                        <a:xfrm>
                          <a:off x="0" y="0"/>
                          <a:ext cx="6153150" cy="457200"/>
                        </a:xfrm>
                        <a:prstGeom prst="rect">
                          <a:avLst/>
                        </a:prstGeom>
                        <a:solidFill>
                          <a:prstClr val="white"/>
                        </a:solidFill>
                        <a:ln>
                          <a:noFill/>
                        </a:ln>
                      </wps:spPr>
                      <wps:txbx>
                        <w:txbxContent>
                          <w:p w14:paraId="35A557A5" w14:textId="48A2BE1D" w:rsidR="0092688D" w:rsidRPr="0092688D" w:rsidRDefault="0092688D" w:rsidP="0092688D">
                            <w:pPr>
                              <w:pStyle w:val="Descripcin"/>
                              <w:jc w:val="center"/>
                              <w:rPr>
                                <w:rFonts w:ascii="Arial" w:hAnsi="Arial" w:cs="Arial"/>
                                <w:noProof/>
                                <w:color w:val="000000" w:themeColor="text1"/>
                                <w:sz w:val="24"/>
                                <w:szCs w:val="24"/>
                              </w:rPr>
                            </w:pPr>
                            <w:r w:rsidRPr="0092688D">
                              <w:rPr>
                                <w:rFonts w:ascii="Arial" w:hAnsi="Arial" w:cs="Arial"/>
                                <w:color w:val="000000" w:themeColor="text1"/>
                                <w:sz w:val="24"/>
                                <w:szCs w:val="24"/>
                              </w:rPr>
                              <w:t xml:space="preserve">Gráfica </w:t>
                            </w:r>
                            <w:r w:rsidRPr="0092688D">
                              <w:rPr>
                                <w:rFonts w:ascii="Arial" w:hAnsi="Arial" w:cs="Arial"/>
                                <w:color w:val="000000" w:themeColor="text1"/>
                                <w:sz w:val="24"/>
                                <w:szCs w:val="24"/>
                              </w:rPr>
                              <w:fldChar w:fldCharType="begin"/>
                            </w:r>
                            <w:r w:rsidRPr="0092688D">
                              <w:rPr>
                                <w:rFonts w:ascii="Arial" w:hAnsi="Arial" w:cs="Arial"/>
                                <w:color w:val="000000" w:themeColor="text1"/>
                                <w:sz w:val="24"/>
                                <w:szCs w:val="24"/>
                              </w:rPr>
                              <w:instrText xml:space="preserve"> SEQ Gráfica \* ARABIC </w:instrText>
                            </w:r>
                            <w:r w:rsidRPr="0092688D">
                              <w:rPr>
                                <w:rFonts w:ascii="Arial" w:hAnsi="Arial" w:cs="Arial"/>
                                <w:color w:val="000000" w:themeColor="text1"/>
                                <w:sz w:val="24"/>
                                <w:szCs w:val="24"/>
                              </w:rPr>
                              <w:fldChar w:fldCharType="separate"/>
                            </w:r>
                            <w:r w:rsidR="004F456A">
                              <w:rPr>
                                <w:rFonts w:ascii="Arial" w:hAnsi="Arial" w:cs="Arial"/>
                                <w:noProof/>
                                <w:color w:val="000000" w:themeColor="text1"/>
                                <w:sz w:val="24"/>
                                <w:szCs w:val="24"/>
                              </w:rPr>
                              <w:t>7</w:t>
                            </w:r>
                            <w:r w:rsidRPr="0092688D">
                              <w:rPr>
                                <w:rFonts w:ascii="Arial" w:hAnsi="Arial" w:cs="Arial"/>
                                <w:color w:val="000000" w:themeColor="text1"/>
                                <w:sz w:val="24"/>
                                <w:szCs w:val="24"/>
                              </w:rPr>
                              <w:fldChar w:fldCharType="end"/>
                            </w:r>
                            <w:r w:rsidRPr="0092688D">
                              <w:rPr>
                                <w:rFonts w:ascii="Arial" w:hAnsi="Arial" w:cs="Arial"/>
                                <w:color w:val="000000" w:themeColor="text1"/>
                                <w:sz w:val="24"/>
                                <w:szCs w:val="24"/>
                              </w:rPr>
                              <w:t>. Siniestralidad Capital Salud EPS-S, enero-diciembre de 2025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F6FF4A5" id="Cuadro de texto 29" o:spid="_x0000_s1031" type="#_x0000_t202" style="position:absolute;margin-left:-16.05pt;margin-top:0;width:484.5pt;height:36pt;z-index:251674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" stroked="f">
                <v:textbox inset="0,0,0,0">
                  <w:txbxContent>
                    <w:p w14:paraId="35A557A5" w14:textId="48A2BE1D" w:rsidR="0092688D" w:rsidRPr="0092688D" w:rsidRDefault="0092688D" w:rsidP="0092688D">
                      <w:pPr>
                        <w:pStyle w:val="Descripcin"/>
                        <w:jc w:val="center"/>
                        <w:rPr>
                          <w:rFonts w:ascii="Arial" w:hAnsi="Arial" w:cs="Arial"/>
                          <w:noProof/>
                          <w:color w:val="000000" w:themeColor="text1"/>
                          <w:sz w:val="24"/>
                          <w:szCs w:val="24"/>
                        </w:rPr>
                      </w:pPr>
                      <w:r w:rsidRPr="0092688D">
                        <w:rPr>
                          <w:rFonts w:ascii="Arial" w:hAnsi="Arial" w:cs="Arial"/>
                          <w:color w:val="000000" w:themeColor="text1"/>
                          <w:sz w:val="24"/>
                          <w:szCs w:val="24"/>
                        </w:rPr>
                        <w:t xml:space="preserve">Gráfica </w:t>
                      </w:r>
                      <w:r w:rsidRPr="0092688D">
                        <w:rPr>
                          <w:rFonts w:ascii="Arial" w:hAnsi="Arial" w:cs="Arial"/>
                          <w:color w:val="000000" w:themeColor="text1"/>
                          <w:sz w:val="24"/>
                          <w:szCs w:val="24"/>
                        </w:rPr>
                        <w:fldChar w:fldCharType="begin"/>
                      </w:r>
                      <w:r w:rsidRPr="0092688D">
                        <w:rPr>
                          <w:rFonts w:ascii="Arial" w:hAnsi="Arial" w:cs="Arial"/>
                          <w:color w:val="000000" w:themeColor="text1"/>
                          <w:sz w:val="24"/>
                          <w:szCs w:val="24"/>
                        </w:rPr>
                        <w:instrText xml:space="preserve"> SEQ Gráfica \* ARABIC </w:instrText>
                      </w:r>
                      <w:r w:rsidRPr="0092688D">
                        <w:rPr>
                          <w:rFonts w:ascii="Arial" w:hAnsi="Arial" w:cs="Arial"/>
                          <w:color w:val="000000" w:themeColor="text1"/>
                          <w:sz w:val="24"/>
                          <w:szCs w:val="24"/>
                        </w:rPr>
                        <w:fldChar w:fldCharType="separate"/>
                      </w:r>
                      <w:r w:rsidR="004F456A">
                        <w:rPr>
                          <w:rFonts w:ascii="Arial" w:hAnsi="Arial" w:cs="Arial"/>
                          <w:noProof/>
                          <w:color w:val="000000" w:themeColor="text1"/>
                          <w:sz w:val="24"/>
                          <w:szCs w:val="24"/>
                        </w:rPr>
                        <w:t>7</w:t>
                      </w:r>
                      <w:r w:rsidRPr="0092688D">
                        <w:rPr>
                          <w:rFonts w:ascii="Arial" w:hAnsi="Arial" w:cs="Arial"/>
                          <w:color w:val="000000" w:themeColor="text1"/>
                          <w:sz w:val="24"/>
                          <w:szCs w:val="24"/>
                        </w:rPr>
                        <w:fldChar w:fldCharType="end"/>
                      </w:r>
                      <w:r w:rsidRPr="0092688D">
                        <w:rPr>
                          <w:rFonts w:ascii="Arial" w:hAnsi="Arial" w:cs="Arial"/>
                          <w:color w:val="000000" w:themeColor="text1"/>
                          <w:sz w:val="24"/>
                          <w:szCs w:val="24"/>
                        </w:rPr>
                        <w:t>. Siniestralidad Capital Salud EPS-S, enero-diciembre de 2025</w:t>
                      </w:r>
                    </w:p>
                  </w:txbxContent>
                </v:textbox>
                <w10:wrap type="square"/>
              </v:shape>
            </w:pict>
          </mc:Fallback>
        </mc:AlternateContent>
      </w:r>
      <w:r w:rsidR="00000000" w:rsidRPr="00AC3703">
        <w:rPr>
          <w:rFonts w:ascii="Arial" w:eastAsia="Arial" w:hAnsi="Arial" w:cs="Arial"/>
          <w:color w:val="000000"/>
          <w:sz w:val="16"/>
          <w:szCs w:val="16"/>
        </w:rPr>
        <w:t>Fuente: Capital Salud EPS-S. Formato FT001 – Información financiera reportada (corte enero a diciembre de 2025). Elaboración propia (cálculo y gráfica de siniestralidad mensual, enero–diciembre 2025).</w:t>
      </w:r>
    </w:p>
    <w:p w14:paraId="17F1B197"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2E36BF4E"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La siniestralidad registrada por Capital Salud EPS-S a diciembre de 2025 se ubica en 103,42%, es decir, aproximadamente 3,42 puntos porcentuales por encima del 100%. Esto significa que, por cada $100 reconocidos por UPC, la entidad estaría destinando alrededor de $103,42 al reconocimiento y financiamiento de prestaciones en salud, configurando un déficit técnico que tiende a acumularse si no se implementan medidas de gestión del gasto, depuración de costos y fortalecimiento de ingresos.</w:t>
      </w:r>
    </w:p>
    <w:p w14:paraId="0555D7D3"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 </w:t>
      </w:r>
    </w:p>
    <w:p w14:paraId="49456DE1"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hAnsi="Arial" w:cs="Arial"/>
          <w:color w:val="000000"/>
        </w:rPr>
        <w:t xml:space="preserve">En términos de impacto, una siniestralidad persistentemente superior al 100% compromete la sostenibilidad operativa de la entidad y reduce su margen para constituir y fortalecer reservas técnicas, en la medida en que presiona el flujo de caja y profundiza la brecha entre obligaciones y recursos disponibles. Esto se alinea con los hallazgos de deterioro financiero descritos previamente (incremento de pasivos, deterioro patrimonial y aumento de cuentas por pagar), ya que un gasto asistencial por encima de la UPC suele traducirse en mayor acumulación de </w:t>
      </w:r>
      <w:r w:rsidRPr="00242DFB">
        <w:rPr>
          <w:rFonts w:ascii="Arial" w:hAnsi="Arial" w:cs="Arial"/>
          <w:color w:val="000000"/>
        </w:rPr>
        <w:lastRenderedPageBreak/>
        <w:t xml:space="preserve">obligaciones con prestadores y proveedores, incremento del riesgo de cartera vencida y tensiones en la red que afectan la oportunidad, continuidad y calidad de la atención. En consecuencia, el comportamiento observado no solo constituye un riesgo financiero, sino también un riesgo operativo y de acceso, al elevar la probabilidad de retrasos en autorizaciones, programación de servicios y dispensación de tecnologías. </w:t>
      </w:r>
    </w:p>
    <w:p w14:paraId="07951B5F" w14:textId="77777777" w:rsidR="009F762E" w:rsidRPr="00242DFB" w:rsidRDefault="009F762E" w:rsidP="002A0E52">
      <w:pPr>
        <w:spacing w:line="360" w:lineRule="auto"/>
        <w:jc w:val="both"/>
        <w:rPr>
          <w:rFonts w:ascii="Arial" w:eastAsia="Arial" w:hAnsi="Arial" w:cs="Arial"/>
          <w:color w:val="000000" w:themeColor="text1"/>
        </w:rPr>
      </w:pPr>
    </w:p>
    <w:p w14:paraId="7E47BBB0" w14:textId="77777777" w:rsidR="009F762E" w:rsidRPr="00242DFB" w:rsidRDefault="00000000" w:rsidP="002A0E52">
      <w:pPr>
        <w:spacing w:line="360" w:lineRule="auto"/>
        <w:jc w:val="both"/>
        <w:rPr>
          <w:rFonts w:ascii="Arial" w:hAnsi="Arial" w:cs="Arial"/>
          <w:b/>
          <w:bCs/>
          <w:color w:val="000000" w:themeColor="text1"/>
        </w:rPr>
      </w:pPr>
      <w:r w:rsidRPr="00242DFB">
        <w:rPr>
          <w:rFonts w:ascii="Arial" w:hAnsi="Arial" w:cs="Arial"/>
          <w:b/>
          <w:color w:val="000000"/>
        </w:rPr>
        <w:t>8.4 Indicador de endeudamiento</w:t>
      </w:r>
    </w:p>
    <w:p w14:paraId="20F84746" w14:textId="77777777" w:rsidR="009F762E" w:rsidRPr="00242DFB" w:rsidRDefault="009F762E" w:rsidP="002A0E52">
      <w:pPr>
        <w:spacing w:line="360" w:lineRule="auto"/>
        <w:rPr>
          <w:rFonts w:ascii="Arial" w:hAnsi="Arial" w:cs="Arial"/>
          <w:color w:val="000000" w:themeColor="text1"/>
        </w:rPr>
      </w:pPr>
    </w:p>
    <w:p w14:paraId="180A717E" w14:textId="450641DE" w:rsidR="009F762E" w:rsidRPr="00D37DE7" w:rsidRDefault="004F456A" w:rsidP="00A113E5">
      <w:pPr>
        <w:spacing w:line="360" w:lineRule="auto"/>
        <w:jc w:val="both"/>
        <w:rPr>
          <w:rFonts w:ascii="Arial" w:hAnsi="Arial" w:cs="Arial"/>
          <w:color w:val="000000" w:themeColor="text1"/>
          <w:sz w:val="16"/>
          <w:szCs w:val="16"/>
        </w:rPr>
      </w:pPr>
      <w:r>
        <w:rPr>
          <w:noProof/>
        </w:rPr>
        <mc:AlternateContent>
          <mc:Choice Requires="wps">
            <w:drawing>
              <wp:anchor distT="0" distB="0" distL="114300" distR="114300" simplePos="0" relativeHeight="251677184" behindDoc="0" locked="0" layoutInCell="1" allowOverlap="1" wp14:anchorId="5662B2D6" wp14:editId="4A48CA08">
                <wp:simplePos x="0" y="0"/>
                <wp:positionH relativeFrom="column">
                  <wp:posOffset>-480060</wp:posOffset>
                </wp:positionH>
                <wp:positionV relativeFrom="paragraph">
                  <wp:posOffset>67310</wp:posOffset>
                </wp:positionV>
                <wp:extent cx="6505575" cy="457200"/>
                <wp:effectExtent l="0" t="0" r="9525" b="0"/>
                <wp:wrapSquare wrapText="bothSides"/>
                <wp:docPr id="32" name="Cuadro de texto 32"/>
                <wp:cNvGraphicFramePr/>
                <a:graphic xmlns:a="http://schemas.openxmlformats.org/drawingml/2006/main">
                  <a:graphicData uri="http://schemas.microsoft.com/office/word/2010/wordprocessingShape">
                    <wps:wsp>
                      <wps:cNvSpPr txBox="1"/>
                      <wps:spPr>
                        <a:xfrm>
                          <a:off x="0" y="0"/>
                          <a:ext cx="6505575" cy="457200"/>
                        </a:xfrm>
                        <a:prstGeom prst="rect">
                          <a:avLst/>
                        </a:prstGeom>
                        <a:solidFill>
                          <a:prstClr val="white"/>
                        </a:solidFill>
                        <a:ln>
                          <a:noFill/>
                        </a:ln>
                      </wps:spPr>
                      <wps:txbx>
                        <w:txbxContent>
                          <w:p w14:paraId="5683DA27" w14:textId="13322D9A" w:rsidR="004F456A" w:rsidRPr="00A113E5" w:rsidRDefault="004F456A" w:rsidP="00A113E5">
                            <w:pPr>
                              <w:pStyle w:val="Descripcin"/>
                              <w:jc w:val="center"/>
                              <w:rPr>
                                <w:rFonts w:ascii="Arial" w:hAnsi="Arial" w:cs="Arial"/>
                                <w:noProof/>
                                <w:color w:val="000000" w:themeColor="text1"/>
                                <w:sz w:val="24"/>
                                <w:szCs w:val="24"/>
                              </w:rPr>
                            </w:pPr>
                            <w:r w:rsidRPr="00A113E5">
                              <w:rPr>
                                <w:rFonts w:ascii="Arial" w:hAnsi="Arial" w:cs="Arial"/>
                                <w:color w:val="000000" w:themeColor="text1"/>
                                <w:sz w:val="24"/>
                                <w:szCs w:val="24"/>
                              </w:rPr>
                              <w:t xml:space="preserve">Gráfica </w:t>
                            </w:r>
                            <w:r w:rsidRPr="00A113E5">
                              <w:rPr>
                                <w:rFonts w:ascii="Arial" w:hAnsi="Arial" w:cs="Arial"/>
                                <w:color w:val="000000" w:themeColor="text1"/>
                                <w:sz w:val="24"/>
                                <w:szCs w:val="24"/>
                              </w:rPr>
                              <w:fldChar w:fldCharType="begin"/>
                            </w:r>
                            <w:r w:rsidRPr="00A113E5">
                              <w:rPr>
                                <w:rFonts w:ascii="Arial" w:hAnsi="Arial" w:cs="Arial"/>
                                <w:color w:val="000000" w:themeColor="text1"/>
                                <w:sz w:val="24"/>
                                <w:szCs w:val="24"/>
                              </w:rPr>
                              <w:instrText xml:space="preserve"> SEQ Gráfica \* ARABIC </w:instrText>
                            </w:r>
                            <w:r w:rsidRPr="00A113E5">
                              <w:rPr>
                                <w:rFonts w:ascii="Arial" w:hAnsi="Arial" w:cs="Arial"/>
                                <w:color w:val="000000" w:themeColor="text1"/>
                                <w:sz w:val="24"/>
                                <w:szCs w:val="24"/>
                              </w:rPr>
                              <w:fldChar w:fldCharType="separate"/>
                            </w:r>
                            <w:r w:rsidRPr="00A113E5">
                              <w:rPr>
                                <w:rFonts w:ascii="Arial" w:hAnsi="Arial" w:cs="Arial"/>
                                <w:noProof/>
                                <w:color w:val="000000" w:themeColor="text1"/>
                                <w:sz w:val="24"/>
                                <w:szCs w:val="24"/>
                              </w:rPr>
                              <w:t>8</w:t>
                            </w:r>
                            <w:r w:rsidRPr="00A113E5">
                              <w:rPr>
                                <w:rFonts w:ascii="Arial" w:hAnsi="Arial" w:cs="Arial"/>
                                <w:color w:val="000000" w:themeColor="text1"/>
                                <w:sz w:val="24"/>
                                <w:szCs w:val="24"/>
                              </w:rPr>
                              <w:fldChar w:fldCharType="end"/>
                            </w:r>
                            <w:r w:rsidRPr="00A113E5">
                              <w:rPr>
                                <w:rFonts w:ascii="Arial" w:hAnsi="Arial" w:cs="Arial"/>
                                <w:color w:val="000000" w:themeColor="text1"/>
                                <w:sz w:val="24"/>
                                <w:szCs w:val="24"/>
                              </w:rPr>
                              <w:t>. Porcentaje de endeudamiento Capital Salud EPS-S, enero-diciembre de 2025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5662B2D6" id="Cuadro de texto 32" o:spid="_x0000_s1032" type="#_x0000_t202" style="position:absolute;left:0;text-align:left;margin-left:-37.8pt;margin-top:5.3pt;width:512.25pt;height:36pt;z-index:251677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" stroked="f">
                <v:textbox inset="0,0,0,0">
                  <w:txbxContent>
                    <w:p w14:paraId="5683DA27" w14:textId="13322D9A" w:rsidR="004F456A" w:rsidRPr="00A113E5" w:rsidRDefault="004F456A" w:rsidP="00A113E5">
                      <w:pPr>
                        <w:pStyle w:val="Descripcin"/>
                        <w:jc w:val="center"/>
                        <w:rPr>
                          <w:rFonts w:ascii="Arial" w:hAnsi="Arial" w:cs="Arial"/>
                          <w:noProof/>
                          <w:color w:val="000000" w:themeColor="text1"/>
                          <w:sz w:val="24"/>
                          <w:szCs w:val="24"/>
                        </w:rPr>
                      </w:pPr>
                      <w:r w:rsidRPr="00A113E5">
                        <w:rPr>
                          <w:rFonts w:ascii="Arial" w:hAnsi="Arial" w:cs="Arial"/>
                          <w:color w:val="000000" w:themeColor="text1"/>
                          <w:sz w:val="24"/>
                          <w:szCs w:val="24"/>
                        </w:rPr>
                        <w:t xml:space="preserve">Gráfica </w:t>
                      </w:r>
                      <w:r w:rsidRPr="00A113E5">
                        <w:rPr>
                          <w:rFonts w:ascii="Arial" w:hAnsi="Arial" w:cs="Arial"/>
                          <w:color w:val="000000" w:themeColor="text1"/>
                          <w:sz w:val="24"/>
                          <w:szCs w:val="24"/>
                        </w:rPr>
                        <w:fldChar w:fldCharType="begin"/>
                      </w:r>
                      <w:r w:rsidRPr="00A113E5">
                        <w:rPr>
                          <w:rFonts w:ascii="Arial" w:hAnsi="Arial" w:cs="Arial"/>
                          <w:color w:val="000000" w:themeColor="text1"/>
                          <w:sz w:val="24"/>
                          <w:szCs w:val="24"/>
                        </w:rPr>
                        <w:instrText xml:space="preserve"> SEQ Gráfica \* ARABIC </w:instrText>
                      </w:r>
                      <w:r w:rsidRPr="00A113E5">
                        <w:rPr>
                          <w:rFonts w:ascii="Arial" w:hAnsi="Arial" w:cs="Arial"/>
                          <w:color w:val="000000" w:themeColor="text1"/>
                          <w:sz w:val="24"/>
                          <w:szCs w:val="24"/>
                        </w:rPr>
                        <w:fldChar w:fldCharType="separate"/>
                      </w:r>
                      <w:r w:rsidRPr="00A113E5">
                        <w:rPr>
                          <w:rFonts w:ascii="Arial" w:hAnsi="Arial" w:cs="Arial"/>
                          <w:noProof/>
                          <w:color w:val="000000" w:themeColor="text1"/>
                          <w:sz w:val="24"/>
                          <w:szCs w:val="24"/>
                        </w:rPr>
                        <w:t>8</w:t>
                      </w:r>
                      <w:r w:rsidRPr="00A113E5">
                        <w:rPr>
                          <w:rFonts w:ascii="Arial" w:hAnsi="Arial" w:cs="Arial"/>
                          <w:color w:val="000000" w:themeColor="text1"/>
                          <w:sz w:val="24"/>
                          <w:szCs w:val="24"/>
                        </w:rPr>
                        <w:fldChar w:fldCharType="end"/>
                      </w:r>
                      <w:r w:rsidRPr="00A113E5">
                        <w:rPr>
                          <w:rFonts w:ascii="Arial" w:hAnsi="Arial" w:cs="Arial"/>
                          <w:color w:val="000000" w:themeColor="text1"/>
                          <w:sz w:val="24"/>
                          <w:szCs w:val="24"/>
                        </w:rPr>
                        <w:t>. Porcentaje de endeudamiento Capital Salud EPS-S, enero-diciembre de 2025</w:t>
                      </w:r>
                    </w:p>
                  </w:txbxContent>
                </v:textbox>
                <w10:wrap type="square"/>
              </v:shape>
            </w:pict>
          </mc:Fallback>
        </mc:AlternateContent>
      </w:r>
      <w:r w:rsidR="00D37DE7">
        <w:rPr>
          <w:noProof/>
        </w:rPr>
        <w:drawing>
          <wp:anchor distT="0" distB="0" distL="114300" distR="114300" simplePos="0" relativeHeight="251675136" behindDoc="0" locked="0" layoutInCell="1" allowOverlap="1" wp14:anchorId="78559C87" wp14:editId="605D6262">
            <wp:simplePos x="0" y="0"/>
            <wp:positionH relativeFrom="column">
              <wp:posOffset>-480060</wp:posOffset>
            </wp:positionH>
            <wp:positionV relativeFrom="paragraph">
              <wp:posOffset>524510</wp:posOffset>
            </wp:positionV>
            <wp:extent cx="6505575" cy="3152775"/>
            <wp:effectExtent l="0" t="0" r="0" b="0"/>
            <wp:wrapSquare wrapText="bothSides"/>
            <wp:docPr id="31" name="Gráfico 3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14:sizeRelV relativeFrom="margin">
              <wp14:pctHeight>0</wp14:pctHeight>
            </wp14:sizeRelV>
          </wp:anchor>
        </w:drawing>
      </w:r>
      <w:r w:rsidR="00000000" w:rsidRPr="00D37DE7">
        <w:rPr>
          <w:rFonts w:ascii="Arial" w:hAnsi="Arial" w:cs="Arial"/>
          <w:color w:val="000000"/>
          <w:sz w:val="16"/>
          <w:szCs w:val="16"/>
          <w:lang w:eastAsia="es-CO"/>
        </w:rPr>
        <w:t>Fuente: Capital Salud EPS-S. Formato FT001 – Información financiera reportada (corte enero a diciembre de 2025). Elaboración propia (cálculo del indicador Pasivos/Activos y gráfica mensual, enero–diciembre de 2025).</w:t>
      </w:r>
    </w:p>
    <w:p w14:paraId="63B0BAAD" w14:textId="77777777" w:rsidR="009F762E" w:rsidRPr="00242DFB" w:rsidRDefault="009F762E" w:rsidP="002A0E52">
      <w:pPr>
        <w:spacing w:line="360" w:lineRule="auto"/>
        <w:rPr>
          <w:rFonts w:ascii="Arial" w:eastAsia="Arial" w:hAnsi="Arial" w:cs="Arial"/>
          <w:color w:val="000000" w:themeColor="text1"/>
        </w:rPr>
      </w:pPr>
    </w:p>
    <w:p w14:paraId="0DF658C4"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El indicador de endeudamiento (Pasivos/Activos) de Capital Salud EPS-S evidencia un nivel alto de apalancamiento, al ubicarse en 96,22% al cierre de diciembre de 2025. En términos financieros, esto significa que los pasivos representan casi la totalidad de los activos disponibles, dejando un margen patrimonial estrecho para respaldar obligaciones y absorber contingencias. Este comportamiento es consistente con lo observado previamente en el informe: crecimiento acelerado del </w:t>
      </w:r>
      <w:r w:rsidRPr="00242DFB">
        <w:rPr>
          <w:rFonts w:ascii="Arial" w:eastAsia="Arial" w:hAnsi="Arial" w:cs="Arial"/>
          <w:color w:val="000000"/>
        </w:rPr>
        <w:lastRenderedPageBreak/>
        <w:t>pasivo, presión sobre las cuentas por pagar, reducción del patrimonio y limitaciones de liquidez.</w:t>
      </w:r>
    </w:p>
    <w:p w14:paraId="3EB8097B"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 </w:t>
      </w:r>
    </w:p>
    <w:p w14:paraId="355088F4"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color w:val="000000"/>
        </w:rPr>
        <w:t>Desde la perspectiva operativa, un endeudamiento de este nivel se asocia con mayor probabilidad de restricciones de flujo de caja y, por ende, con efectos directos sobre la prestación: retrasos en el pago a prestadores y proveedores, incremento de la cartera y tensiones en la red que pueden traducirse en barreras de acceso, afectación de la oportunidad y riesgo sobre la continuidad de la atención para los usuarios. Por lo anterior, el indicador no solo describe una condición contable, sino un factor de riesgo para la gestión del aseguramiento, que amerita medidas de recuperación (saneamiento de obligaciones, fortalecimiento patrimonial, acuerdos de pago y control de determinantes de gasto)</w:t>
      </w:r>
    </w:p>
    <w:p w14:paraId="33292409" w14:textId="77777777" w:rsidR="009F762E" w:rsidRPr="00242DFB" w:rsidRDefault="009F762E" w:rsidP="002A0E52">
      <w:pPr>
        <w:spacing w:line="360" w:lineRule="auto"/>
        <w:jc w:val="both"/>
        <w:rPr>
          <w:rFonts w:ascii="Arial" w:eastAsia="Arial" w:hAnsi="Arial" w:cs="Arial"/>
          <w:color w:val="000000" w:themeColor="text1"/>
        </w:rPr>
      </w:pPr>
    </w:p>
    <w:p w14:paraId="4C583E0B" w14:textId="77777777" w:rsidR="009F762E" w:rsidRPr="00242DFB" w:rsidRDefault="00000000" w:rsidP="002A0E52">
      <w:pPr>
        <w:spacing w:line="360" w:lineRule="auto"/>
        <w:rPr>
          <w:rFonts w:ascii="Arial" w:eastAsia="Arial" w:hAnsi="Arial" w:cs="Arial"/>
          <w:color w:val="000000" w:themeColor="text1"/>
        </w:rPr>
      </w:pPr>
      <w:r w:rsidRPr="00242DFB">
        <w:rPr>
          <w:rFonts w:ascii="Arial" w:hAnsi="Arial" w:cs="Arial"/>
          <w:color w:val="000000"/>
        </w:rPr>
        <w:br w:type="page"/>
      </w:r>
    </w:p>
    <w:p w14:paraId="7050FE7D" w14:textId="77777777" w:rsidR="009F762E" w:rsidRPr="00242DFB" w:rsidRDefault="009F762E" w:rsidP="002A0E52">
      <w:pPr>
        <w:spacing w:line="360" w:lineRule="auto"/>
        <w:jc w:val="both"/>
        <w:rPr>
          <w:rFonts w:ascii="Arial" w:hAnsi="Arial" w:cs="Arial"/>
          <w:color w:val="000000" w:themeColor="text1"/>
        </w:rPr>
      </w:pPr>
    </w:p>
    <w:p w14:paraId="6E400116" w14:textId="77777777" w:rsidR="009F762E" w:rsidRPr="00242DFB" w:rsidRDefault="00000000" w:rsidP="002A0E52">
      <w:pPr>
        <w:spacing w:line="360" w:lineRule="auto"/>
        <w:jc w:val="center"/>
        <w:rPr>
          <w:rFonts w:ascii="Arial" w:eastAsia="Arial" w:hAnsi="Arial" w:cs="Arial"/>
          <w:color w:val="000000" w:themeColor="text1"/>
        </w:rPr>
      </w:pPr>
      <w:r w:rsidRPr="00242DFB">
        <w:rPr>
          <w:rFonts w:ascii="Arial" w:hAnsi="Arial" w:cs="Arial"/>
          <w:b/>
          <w:color w:val="000000"/>
        </w:rPr>
        <w:t>10. GLOSARIO DE TÉRMINOS</w:t>
      </w:r>
    </w:p>
    <w:p w14:paraId="2876969D" w14:textId="77777777" w:rsidR="009F762E" w:rsidRPr="00242DFB" w:rsidRDefault="009F762E" w:rsidP="002A0E52">
      <w:pPr>
        <w:spacing w:line="360" w:lineRule="auto"/>
        <w:jc w:val="center"/>
        <w:rPr>
          <w:rFonts w:ascii="Arial" w:eastAsia="Arial" w:hAnsi="Arial" w:cs="Arial"/>
          <w:color w:val="000000" w:themeColor="text1"/>
        </w:rPr>
      </w:pPr>
    </w:p>
    <w:p w14:paraId="687CD4FB"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hAnsi="Arial" w:cs="Arial"/>
          <w:color w:val="000000"/>
        </w:rPr>
        <w:t>EPS (Entidad Promotora de Salud): Son las aseguradoras. Su función principal es organizar y garantizar el acceso al Plan de Beneficios en Salud (PBS), afiliar a los usuarios, recaudar cotizaciones y administrar los recursos financieros.</w:t>
      </w:r>
    </w:p>
    <w:p w14:paraId="18039A1F" w14:textId="77777777" w:rsidR="009F762E" w:rsidRPr="00242DFB" w:rsidRDefault="009F762E" w:rsidP="002A0E52">
      <w:pPr>
        <w:shd w:val="clear" w:color="auto" w:fill="FFFFFF" w:themeFill="background1"/>
        <w:spacing w:line="360" w:lineRule="auto"/>
        <w:jc w:val="both"/>
        <w:rPr>
          <w:rFonts w:ascii="Arial" w:eastAsia="Arial" w:hAnsi="Arial" w:cs="Arial"/>
          <w:color w:val="000000" w:themeColor="text1"/>
        </w:rPr>
      </w:pPr>
    </w:p>
    <w:p w14:paraId="5D3C512E" w14:textId="77777777" w:rsidR="009F762E" w:rsidRPr="00242DFB" w:rsidRDefault="00000000" w:rsidP="002A0E52">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b/>
          <w:bCs/>
          <w:color w:val="000000"/>
        </w:rPr>
        <w:t xml:space="preserve">IPS (Institución Prestadora de Servicios de Salud): Son los prestadores. Son los hospitales, clínicas, laboratorios y consultorios médicos donde los usuarios reciben atención, citas, exámenes y cirugías. Pueden ser públicas o privadas. </w:t>
      </w:r>
    </w:p>
    <w:p w14:paraId="6E033B35" w14:textId="77777777" w:rsidR="009F762E" w:rsidRPr="00242DFB" w:rsidRDefault="009F762E" w:rsidP="002A0E52">
      <w:pPr>
        <w:shd w:val="clear" w:color="auto" w:fill="FFFFFF" w:themeFill="background1"/>
        <w:spacing w:line="360" w:lineRule="auto"/>
        <w:jc w:val="both"/>
        <w:rPr>
          <w:rFonts w:ascii="Arial" w:eastAsia="Arial" w:hAnsi="Arial" w:cs="Arial"/>
          <w:color w:val="000000" w:themeColor="text1"/>
        </w:rPr>
      </w:pPr>
    </w:p>
    <w:p w14:paraId="0D0356DE" w14:textId="77777777" w:rsidR="009F762E" w:rsidRPr="00242DFB" w:rsidRDefault="00000000" w:rsidP="002A0E52">
      <w:pPr>
        <w:shd w:val="clear" w:color="auto" w:fill="FFFFFF" w:themeFill="background1"/>
        <w:spacing w:line="360" w:lineRule="auto"/>
        <w:jc w:val="both"/>
        <w:rPr>
          <w:rFonts w:ascii="Arial" w:eastAsia="Arial" w:hAnsi="Arial" w:cs="Arial"/>
          <w:color w:val="000000" w:themeColor="text1"/>
        </w:rPr>
      </w:pPr>
      <w:hyperlink r:id="rId30">
        <w:r w:rsidRPr="00242DFB">
          <w:rPr>
            <w:rFonts w:ascii="Arial" w:eastAsiaTheme="minorEastAsia" w:hAnsi="Arial" w:cs="Arial"/>
            <w:b/>
            <w:bCs/>
            <w:color w:val="000000" w:themeColor="text1"/>
          </w:rPr>
          <w:t>EAPB</w:t>
        </w:r>
      </w:hyperlink>
      <w:r w:rsidRPr="00242DFB">
        <w:rPr>
          <w:rFonts w:ascii="Arial" w:eastAsiaTheme="minorEastAsia" w:hAnsi="Arial" w:cs="Arial"/>
          <w:b/>
          <w:bCs/>
          <w:color w:val="000000"/>
        </w:rPr>
        <w:t xml:space="preserve"> (Em</w:t>
      </w:r>
      <w:r w:rsidRPr="00242DFB">
        <w:rPr>
          <w:rFonts w:ascii="Arial" w:eastAsia="Arial" w:hAnsi="Arial" w:cs="Arial"/>
          <w:b/>
          <w:bCs/>
          <w:color w:val="000000"/>
        </w:rPr>
        <w:t>presas Administradoras de Planes de Beneficios):</w:t>
      </w:r>
      <w:r w:rsidRPr="00242DFB">
        <w:rPr>
          <w:rFonts w:ascii="Arial" w:eastAsia="Arial" w:hAnsi="Arial" w:cs="Arial"/>
          <w:color w:val="000000"/>
        </w:rPr>
        <w:t xml:space="preserve"> Es un concepto más amplio que abarca a las EPS, EPS Indígenas, Entidades Adaptadas y Cajas de Compensación Familiar que administran los recursos del régimen contributivo y subsidiado. </w:t>
      </w:r>
    </w:p>
    <w:p w14:paraId="54284ACE" w14:textId="77777777" w:rsidR="009F762E" w:rsidRPr="00242DFB" w:rsidRDefault="009F762E" w:rsidP="002A0E52">
      <w:pPr>
        <w:spacing w:line="360" w:lineRule="auto"/>
        <w:jc w:val="both"/>
        <w:rPr>
          <w:rFonts w:ascii="Arial" w:eastAsia="Arial" w:hAnsi="Arial" w:cs="Arial"/>
          <w:color w:val="000000" w:themeColor="text1"/>
        </w:rPr>
      </w:pPr>
    </w:p>
    <w:p w14:paraId="28CA979B"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b/>
          <w:bCs/>
          <w:color w:val="000000"/>
        </w:rPr>
        <w:t xml:space="preserve">UPC: </w:t>
      </w:r>
      <w:r w:rsidRPr="00242DFB">
        <w:rPr>
          <w:rFonts w:ascii="Arial" w:eastAsia="Arial" w:hAnsi="Arial" w:cs="Arial"/>
          <w:color w:val="000000"/>
        </w:rPr>
        <w:t>Unidad de pago por capitación, es el valor anual que el Estado (a través</w:t>
      </w:r>
      <w:r w:rsidRPr="00242DFB">
        <w:rPr>
          <w:rFonts w:ascii="Arial" w:eastAsia="Arial" w:hAnsi="Arial" w:cs="Arial"/>
          <w:color w:val="000000"/>
          <w:u w:val="single"/>
        </w:rPr>
        <w:t>,</w:t>
      </w:r>
      <w:r w:rsidRPr="00242DFB">
        <w:rPr>
          <w:rFonts w:ascii="Arial" w:eastAsia="Arial" w:hAnsi="Arial" w:cs="Arial"/>
          <w:color w:val="000000"/>
        </w:rPr>
        <w:t xml:space="preserve"> de la ADRES) gira a las Entidades Promotoras de Salud (EPS) por cada afiliado.</w:t>
      </w:r>
    </w:p>
    <w:p w14:paraId="7F26D5D1" w14:textId="77777777" w:rsidR="009F762E" w:rsidRPr="00242DFB" w:rsidRDefault="009F762E" w:rsidP="002A0E52">
      <w:pPr>
        <w:spacing w:line="360" w:lineRule="auto"/>
        <w:jc w:val="both"/>
        <w:rPr>
          <w:rFonts w:ascii="Arial" w:eastAsia="Arial" w:hAnsi="Arial" w:cs="Arial"/>
          <w:color w:val="000000" w:themeColor="text1"/>
        </w:rPr>
      </w:pPr>
    </w:p>
    <w:p w14:paraId="0FE5C231"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b/>
          <w:bCs/>
          <w:color w:val="000000"/>
        </w:rPr>
        <w:t>PBS</w:t>
      </w:r>
      <w:r w:rsidRPr="00242DFB">
        <w:rPr>
          <w:rFonts w:ascii="Arial" w:eastAsia="Arial" w:hAnsi="Arial" w:cs="Arial"/>
          <w:color w:val="000000"/>
        </w:rPr>
        <w:t>: Plan de Beneficios de Salud, es el conjunto de servicios, medicamentos y procedimientos a los que tiene derecho el usuario.</w:t>
      </w:r>
    </w:p>
    <w:p w14:paraId="7C5790AA" w14:textId="77777777" w:rsidR="009F762E" w:rsidRPr="00242DFB" w:rsidRDefault="009F762E" w:rsidP="002A0E52">
      <w:pPr>
        <w:spacing w:line="360" w:lineRule="auto"/>
        <w:jc w:val="both"/>
        <w:rPr>
          <w:rFonts w:ascii="Arial" w:eastAsia="Arial" w:hAnsi="Arial" w:cs="Arial"/>
          <w:color w:val="000000" w:themeColor="text1"/>
        </w:rPr>
      </w:pPr>
    </w:p>
    <w:p w14:paraId="4655B2CF"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b/>
          <w:bCs/>
          <w:color w:val="000000"/>
        </w:rPr>
        <w:t>Régimen Contributivo</w:t>
      </w:r>
      <w:r w:rsidRPr="00242DFB">
        <w:rPr>
          <w:rFonts w:ascii="Arial" w:eastAsia="Arial" w:hAnsi="Arial" w:cs="Arial"/>
          <w:color w:val="000000"/>
        </w:rPr>
        <w:t>: sistema para personas con capacidad de pago (trabajadores, pensionados).</w:t>
      </w:r>
    </w:p>
    <w:p w14:paraId="60B97C26" w14:textId="77777777" w:rsidR="009F762E" w:rsidRPr="00242DFB" w:rsidRDefault="009F762E" w:rsidP="002A0E52">
      <w:pPr>
        <w:shd w:val="clear" w:color="auto" w:fill="FFFFFF" w:themeFill="background1"/>
        <w:spacing w:line="360" w:lineRule="auto"/>
        <w:jc w:val="both"/>
        <w:rPr>
          <w:rFonts w:ascii="Arial" w:eastAsia="Arial" w:hAnsi="Arial" w:cs="Arial"/>
          <w:color w:val="000000" w:themeColor="text1"/>
        </w:rPr>
      </w:pPr>
    </w:p>
    <w:p w14:paraId="46DCAC8C" w14:textId="77777777" w:rsidR="009F762E" w:rsidRPr="00242DFB" w:rsidRDefault="00000000" w:rsidP="002A0E52">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b/>
          <w:bCs/>
          <w:color w:val="000000"/>
        </w:rPr>
        <w:t>Régimen Subsidiado</w:t>
      </w:r>
      <w:r w:rsidRPr="00242DFB">
        <w:rPr>
          <w:rFonts w:ascii="Arial" w:eastAsia="Arial" w:hAnsi="Arial" w:cs="Arial"/>
          <w:color w:val="000000"/>
        </w:rPr>
        <w:t>: sistema para población pobre y vulnerable, financiado por el Estado.</w:t>
      </w:r>
    </w:p>
    <w:p w14:paraId="1AD46289" w14:textId="77777777" w:rsidR="009F762E" w:rsidRPr="00242DFB" w:rsidRDefault="009F762E" w:rsidP="002A0E52">
      <w:pPr>
        <w:shd w:val="clear" w:color="auto" w:fill="FFFFFF" w:themeFill="background1"/>
        <w:spacing w:line="360" w:lineRule="auto"/>
        <w:jc w:val="both"/>
        <w:rPr>
          <w:rFonts w:ascii="Arial" w:eastAsia="Arial" w:hAnsi="Arial" w:cs="Arial"/>
          <w:color w:val="000000" w:themeColor="text1"/>
        </w:rPr>
      </w:pPr>
    </w:p>
    <w:p w14:paraId="60D4D5EB" w14:textId="77777777" w:rsidR="009F762E" w:rsidRPr="00242DFB" w:rsidRDefault="00000000" w:rsidP="002A0E52">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b/>
          <w:bCs/>
          <w:color w:val="000000"/>
        </w:rPr>
        <w:t>Condiciones Financieras</w:t>
      </w:r>
      <w:r w:rsidRPr="00242DFB">
        <w:rPr>
          <w:rFonts w:ascii="Arial" w:eastAsia="Arial" w:hAnsi="Arial" w:cs="Arial"/>
          <w:color w:val="000000"/>
        </w:rPr>
        <w:t xml:space="preserve">: en el sector salud, se refieren a los requisitos de solvencia, liquidez, patrimonio y capital mínimo que deben cumplir las entidades </w:t>
      </w:r>
      <w:r w:rsidRPr="00242DFB">
        <w:rPr>
          <w:rFonts w:ascii="Arial" w:eastAsia="Arial" w:hAnsi="Arial" w:cs="Arial"/>
          <w:color w:val="000000"/>
        </w:rPr>
        <w:lastRenderedPageBreak/>
        <w:t>aseguradoras (EPS) y prestadoras (IPS) para garantizar la atención a los usuarios y la sostenibilidad del sistema.</w:t>
      </w:r>
    </w:p>
    <w:p w14:paraId="601F8265" w14:textId="77777777" w:rsidR="009F762E" w:rsidRPr="00242DFB" w:rsidRDefault="009F762E" w:rsidP="002A0E52">
      <w:pPr>
        <w:shd w:val="clear" w:color="auto" w:fill="FFFFFF" w:themeFill="background1"/>
        <w:spacing w:line="360" w:lineRule="auto"/>
        <w:jc w:val="both"/>
        <w:rPr>
          <w:rFonts w:ascii="Arial" w:eastAsia="Arial" w:hAnsi="Arial" w:cs="Arial"/>
          <w:color w:val="000000" w:themeColor="text1"/>
        </w:rPr>
      </w:pPr>
    </w:p>
    <w:p w14:paraId="33DA375B" w14:textId="77777777" w:rsidR="009F762E" w:rsidRPr="00242DFB" w:rsidRDefault="00000000" w:rsidP="002A0E52">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b/>
          <w:bCs/>
          <w:color w:val="000000"/>
        </w:rPr>
        <w:t>Activo</w:t>
      </w:r>
      <w:r w:rsidRPr="00242DFB">
        <w:rPr>
          <w:rFonts w:ascii="Arial" w:eastAsia="Arial" w:hAnsi="Arial" w:cs="Arial"/>
          <w:b/>
          <w:bCs/>
          <w:color w:val="000000"/>
          <w:u w:val="single"/>
        </w:rPr>
        <w:t>:</w:t>
      </w:r>
      <w:r w:rsidRPr="00242DFB">
        <w:rPr>
          <w:rFonts w:ascii="Arial" w:eastAsia="Arial" w:hAnsi="Arial" w:cs="Arial"/>
          <w:color w:val="000000"/>
        </w:rPr>
        <w:t xml:space="preserve"> es cualquier bien, recurso o derecho de propiedad de una entidad (hospital, clínica, EPS) que tiene valor económico, es controlado por la empresa y se espera que genere beneficios económicos o asistenciales futuros.</w:t>
      </w:r>
    </w:p>
    <w:p w14:paraId="558A6FA8" w14:textId="77777777" w:rsidR="009F762E" w:rsidRPr="00242DFB" w:rsidRDefault="009F762E" w:rsidP="002A0E52">
      <w:pPr>
        <w:shd w:val="clear" w:color="auto" w:fill="FFFFFF" w:themeFill="background1"/>
        <w:spacing w:line="360" w:lineRule="auto"/>
        <w:jc w:val="both"/>
        <w:rPr>
          <w:rFonts w:ascii="Arial" w:eastAsia="Arial" w:hAnsi="Arial" w:cs="Arial"/>
          <w:color w:val="000000" w:themeColor="text1"/>
        </w:rPr>
      </w:pPr>
    </w:p>
    <w:p w14:paraId="3AEA5274" w14:textId="77777777" w:rsidR="009F762E" w:rsidRPr="00242DFB" w:rsidRDefault="00000000" w:rsidP="002A0E52">
      <w:pPr>
        <w:shd w:val="clear" w:color="auto" w:fill="FFFFFF" w:themeFill="background1"/>
        <w:spacing w:line="360" w:lineRule="auto"/>
        <w:jc w:val="both"/>
        <w:rPr>
          <w:rFonts w:ascii="Arial" w:eastAsia="Arial" w:hAnsi="Arial" w:cs="Arial"/>
          <w:color w:val="000000" w:themeColor="text1"/>
        </w:rPr>
      </w:pPr>
      <w:r w:rsidRPr="00242DFB">
        <w:rPr>
          <w:rFonts w:ascii="Arial" w:hAnsi="Arial" w:cs="Arial"/>
          <w:color w:val="000000"/>
        </w:rPr>
        <w:t>Activo Corriente: en el ámbito financiero-salud son los recursos, bienes o derechos que una empresa (hospital, EPS, IPS) espera convertir en efectivo, vender o consumir en un plazo menor a un año.</w:t>
      </w:r>
    </w:p>
    <w:p w14:paraId="4A69FE7D" w14:textId="77777777" w:rsidR="009F762E" w:rsidRPr="00242DFB" w:rsidRDefault="009F762E" w:rsidP="002A0E52">
      <w:pPr>
        <w:shd w:val="clear" w:color="auto" w:fill="FFFFFF" w:themeFill="background1"/>
        <w:spacing w:line="360" w:lineRule="auto"/>
        <w:jc w:val="both"/>
        <w:rPr>
          <w:rFonts w:ascii="Arial" w:eastAsia="Arial" w:hAnsi="Arial" w:cs="Arial"/>
          <w:color w:val="000000" w:themeColor="text1"/>
        </w:rPr>
      </w:pPr>
    </w:p>
    <w:p w14:paraId="5F54CCC9" w14:textId="77777777" w:rsidR="009F762E" w:rsidRPr="00242DFB" w:rsidRDefault="00000000" w:rsidP="002A0E52">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b/>
          <w:bCs/>
          <w:color w:val="000000"/>
        </w:rPr>
        <w:t>Pasivo</w:t>
      </w:r>
      <w:r w:rsidRPr="00242DFB">
        <w:rPr>
          <w:rFonts w:ascii="Arial" w:eastAsia="Arial" w:hAnsi="Arial" w:cs="Arial"/>
          <w:b/>
          <w:bCs/>
          <w:color w:val="000000"/>
          <w:u w:val="single"/>
        </w:rPr>
        <w:t>:</w:t>
      </w:r>
      <w:r w:rsidRPr="00242DFB">
        <w:rPr>
          <w:rFonts w:ascii="Arial" w:eastAsia="Arial" w:hAnsi="Arial" w:cs="Arial"/>
          <w:color w:val="000000"/>
        </w:rPr>
        <w:t xml:space="preserve"> representa todas las deudas y obligaciones presentes, como cuentas por pagar a proveedores médicos o salarios. </w:t>
      </w:r>
    </w:p>
    <w:p w14:paraId="534130E2" w14:textId="77777777" w:rsidR="009F762E" w:rsidRPr="00242DFB" w:rsidRDefault="009F762E" w:rsidP="002A0E52">
      <w:pPr>
        <w:shd w:val="clear" w:color="auto" w:fill="FFFFFF" w:themeFill="background1"/>
        <w:spacing w:line="360" w:lineRule="auto"/>
        <w:jc w:val="both"/>
        <w:rPr>
          <w:rFonts w:ascii="Arial" w:eastAsia="Arial" w:hAnsi="Arial" w:cs="Arial"/>
          <w:color w:val="000000" w:themeColor="text1"/>
        </w:rPr>
      </w:pPr>
    </w:p>
    <w:p w14:paraId="06FD1D3B" w14:textId="77777777" w:rsidR="009F762E" w:rsidRPr="00242DFB" w:rsidRDefault="00000000" w:rsidP="002A0E52">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b/>
          <w:bCs/>
          <w:color w:val="000000"/>
        </w:rPr>
        <w:t>Patrimonio</w:t>
      </w:r>
      <w:r w:rsidRPr="00242DFB">
        <w:rPr>
          <w:rFonts w:ascii="Arial" w:eastAsia="Arial" w:hAnsi="Arial" w:cs="Arial"/>
          <w:b/>
          <w:bCs/>
          <w:color w:val="000000"/>
          <w:u w:val="single"/>
        </w:rPr>
        <w:t>:</w:t>
      </w:r>
      <w:r w:rsidRPr="00242DFB">
        <w:rPr>
          <w:rFonts w:ascii="Arial" w:eastAsia="Arial" w:hAnsi="Arial" w:cs="Arial"/>
          <w:color w:val="000000"/>
        </w:rPr>
        <w:t xml:space="preserve"> es el valor residual de los activos una vez deducidos los pasivos, indicando la inversión de los dueños o el capital neto.</w:t>
      </w:r>
    </w:p>
    <w:p w14:paraId="37570CB8" w14:textId="77777777" w:rsidR="009F762E" w:rsidRPr="00242DFB" w:rsidRDefault="009F762E" w:rsidP="002A0E52">
      <w:pPr>
        <w:shd w:val="clear" w:color="auto" w:fill="FFFFFF" w:themeFill="background1"/>
        <w:spacing w:line="360" w:lineRule="auto"/>
        <w:jc w:val="both"/>
        <w:rPr>
          <w:rFonts w:ascii="Arial" w:eastAsia="Arial" w:hAnsi="Arial" w:cs="Arial"/>
          <w:color w:val="000000" w:themeColor="text1"/>
        </w:rPr>
      </w:pPr>
    </w:p>
    <w:p w14:paraId="218FAFBC" w14:textId="77777777" w:rsidR="009F762E" w:rsidRPr="00242DFB" w:rsidRDefault="00000000" w:rsidP="002A0E52">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b/>
          <w:bCs/>
          <w:color w:val="000000"/>
        </w:rPr>
        <w:t>Reserva técnica</w:t>
      </w:r>
      <w:r w:rsidRPr="00242DFB">
        <w:rPr>
          <w:rFonts w:ascii="Arial" w:eastAsia="Arial" w:hAnsi="Arial" w:cs="Arial"/>
          <w:b/>
          <w:bCs/>
          <w:color w:val="000000"/>
          <w:u w:val="single"/>
        </w:rPr>
        <w:t>:</w:t>
      </w:r>
      <w:r w:rsidRPr="00242DFB">
        <w:rPr>
          <w:rFonts w:ascii="Arial" w:eastAsia="Arial" w:hAnsi="Arial" w:cs="Arial"/>
          <w:b/>
          <w:bCs/>
          <w:color w:val="000000"/>
        </w:rPr>
        <w:t xml:space="preserve"> </w:t>
      </w:r>
      <w:r w:rsidRPr="00242DFB">
        <w:rPr>
          <w:rFonts w:ascii="Arial" w:eastAsia="Arial" w:hAnsi="Arial" w:cs="Arial"/>
          <w:color w:val="000000"/>
        </w:rPr>
        <w:t>en el sector financiero de la salud es una provisión de dinero exigida a las EPS e IPS para garantizar el pago de servicios médicos ya prestados o autorizados, pero no facturados (ocurridos pero no conocidos).</w:t>
      </w:r>
    </w:p>
    <w:p w14:paraId="20557E50" w14:textId="77777777" w:rsidR="009F762E" w:rsidRPr="00242DFB" w:rsidRDefault="009F762E" w:rsidP="002A0E52">
      <w:pPr>
        <w:spacing w:line="360" w:lineRule="auto"/>
        <w:jc w:val="both"/>
        <w:rPr>
          <w:rFonts w:ascii="Arial" w:eastAsia="Arial" w:hAnsi="Arial" w:cs="Arial"/>
          <w:color w:val="000000" w:themeColor="text1"/>
        </w:rPr>
      </w:pPr>
    </w:p>
    <w:p w14:paraId="0ADB93B0"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b/>
          <w:bCs/>
          <w:color w:val="000000"/>
        </w:rPr>
        <w:t>Estado Financiero</w:t>
      </w:r>
      <w:r w:rsidRPr="00242DFB">
        <w:rPr>
          <w:rFonts w:ascii="Arial" w:eastAsia="Arial" w:hAnsi="Arial" w:cs="Arial"/>
          <w:b/>
          <w:bCs/>
          <w:color w:val="000000"/>
          <w:u w:val="single"/>
        </w:rPr>
        <w:t>:</w:t>
      </w:r>
      <w:r w:rsidRPr="00242DFB">
        <w:rPr>
          <w:rFonts w:ascii="Arial" w:eastAsia="Arial" w:hAnsi="Arial" w:cs="Arial"/>
          <w:color w:val="000000"/>
        </w:rPr>
        <w:t xml:space="preserve"> en el sector salud es un informe contable estructurado que refleja la situación económica, patrimonial y la rentabilidad de una entidad médica (hospital, clínica, IPS) en un periodo específico.</w:t>
      </w:r>
    </w:p>
    <w:p w14:paraId="24BD8B80" w14:textId="77777777" w:rsidR="009F762E" w:rsidRPr="00242DFB" w:rsidRDefault="009F762E" w:rsidP="002A0E52">
      <w:pPr>
        <w:spacing w:line="360" w:lineRule="auto"/>
        <w:jc w:val="both"/>
        <w:rPr>
          <w:rFonts w:ascii="Arial" w:eastAsia="Arial" w:hAnsi="Arial" w:cs="Arial"/>
          <w:color w:val="000000" w:themeColor="text1"/>
        </w:rPr>
      </w:pPr>
    </w:p>
    <w:p w14:paraId="169D68B2"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b/>
          <w:bCs/>
          <w:color w:val="000000"/>
        </w:rPr>
        <w:t xml:space="preserve">Capital Mínimo: </w:t>
      </w:r>
      <w:r w:rsidRPr="00242DFB">
        <w:rPr>
          <w:rFonts w:ascii="Arial" w:eastAsia="Arial" w:hAnsi="Arial" w:cs="Arial"/>
          <w:color w:val="000000"/>
        </w:rPr>
        <w:t xml:space="preserve">en el sector salud, según la </w:t>
      </w:r>
      <w:hyperlink r:id="rId31">
        <w:r w:rsidRPr="00242DFB">
          <w:rPr>
            <w:rStyle w:val="Hipervnculo"/>
            <w:rFonts w:ascii="Arial" w:eastAsia="Arial" w:hAnsi="Arial" w:cs="Arial"/>
            <w:color w:val="000000" w:themeColor="text1"/>
          </w:rPr>
          <w:t>Superintendencia Nacional de Salud</w:t>
        </w:r>
      </w:hyperlink>
      <w:r w:rsidRPr="00242DFB">
        <w:rPr>
          <w:rFonts w:ascii="Arial" w:eastAsia="Arial" w:hAnsi="Arial" w:cs="Arial"/>
          <w:color w:val="000000"/>
        </w:rPr>
        <w:t>, es el monto base de recursos propios que las EPS deben acreditar para operar, garantizando la solvencia y respaldo de sus obligaciones financieras.</w:t>
      </w:r>
    </w:p>
    <w:p w14:paraId="2FC63B2C" w14:textId="77777777" w:rsidR="009F762E" w:rsidRPr="00242DFB" w:rsidRDefault="009F762E" w:rsidP="002A0E52">
      <w:pPr>
        <w:spacing w:line="360" w:lineRule="auto"/>
        <w:jc w:val="both"/>
        <w:rPr>
          <w:rFonts w:ascii="Arial" w:eastAsia="Arial" w:hAnsi="Arial" w:cs="Arial"/>
          <w:color w:val="000000" w:themeColor="text1"/>
        </w:rPr>
      </w:pPr>
    </w:p>
    <w:p w14:paraId="62D8DDE6"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b/>
          <w:bCs/>
          <w:color w:val="000000"/>
        </w:rPr>
        <w:lastRenderedPageBreak/>
        <w:t>Patrimonio Adecuado</w:t>
      </w:r>
      <w:r w:rsidRPr="00242DFB">
        <w:rPr>
          <w:rFonts w:ascii="Arial" w:eastAsia="Arial" w:hAnsi="Arial" w:cs="Arial"/>
          <w:b/>
          <w:bCs/>
          <w:color w:val="000000"/>
          <w:u w:val="single"/>
        </w:rPr>
        <w:t>:</w:t>
      </w:r>
      <w:r w:rsidRPr="00242DFB">
        <w:rPr>
          <w:rFonts w:ascii="Arial" w:eastAsia="Arial" w:hAnsi="Arial" w:cs="Arial"/>
          <w:color w:val="000000"/>
        </w:rPr>
        <w:t xml:space="preserve"> en el sector financiero de salud es el nivel mínimo de recursos propios que las entidades (como EPS) deben mantener para respaldar sus riesgos, garantizando la solvencia y la prestación de servicios.</w:t>
      </w:r>
    </w:p>
    <w:p w14:paraId="34C5B55E" w14:textId="77777777" w:rsidR="009F762E" w:rsidRPr="00242DFB" w:rsidRDefault="009F762E" w:rsidP="002A0E52">
      <w:pPr>
        <w:spacing w:line="360" w:lineRule="auto"/>
        <w:jc w:val="both"/>
        <w:rPr>
          <w:rFonts w:ascii="Arial" w:eastAsia="Arial" w:hAnsi="Arial" w:cs="Arial"/>
          <w:color w:val="000000" w:themeColor="text1"/>
        </w:rPr>
      </w:pPr>
    </w:p>
    <w:p w14:paraId="1FCBB7CF"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b/>
          <w:bCs/>
          <w:color w:val="000000"/>
        </w:rPr>
        <w:t>Siniestralidad</w:t>
      </w:r>
      <w:r w:rsidRPr="00242DFB">
        <w:rPr>
          <w:rFonts w:ascii="Arial" w:eastAsia="Arial" w:hAnsi="Arial" w:cs="Arial"/>
          <w:b/>
          <w:bCs/>
          <w:color w:val="000000"/>
          <w:u w:val="single"/>
        </w:rPr>
        <w:t>:</w:t>
      </w:r>
      <w:r w:rsidRPr="00242DFB">
        <w:rPr>
          <w:rFonts w:ascii="Arial" w:eastAsia="Arial" w:hAnsi="Arial" w:cs="Arial"/>
          <w:b/>
          <w:bCs/>
          <w:color w:val="000000"/>
        </w:rPr>
        <w:t xml:space="preserve"> </w:t>
      </w:r>
      <w:r w:rsidRPr="00242DFB">
        <w:rPr>
          <w:rFonts w:ascii="Arial" w:eastAsia="Arial" w:hAnsi="Arial" w:cs="Arial"/>
          <w:color w:val="000000"/>
        </w:rPr>
        <w:t>en el sector financiero de la salud es el indicador que mide la relación entre el costo de los servicios médicos prestados (siniestros) y las primas (ingresos) cobradas por la aseguradora o EPS en un periodo determinado.</w:t>
      </w:r>
    </w:p>
    <w:p w14:paraId="65573FD0" w14:textId="77777777" w:rsidR="009F762E" w:rsidRPr="00242DFB" w:rsidRDefault="009F762E" w:rsidP="002A0E52">
      <w:pPr>
        <w:spacing w:line="360" w:lineRule="auto"/>
        <w:jc w:val="both"/>
        <w:rPr>
          <w:rFonts w:ascii="Arial" w:eastAsia="Arial" w:hAnsi="Arial" w:cs="Arial"/>
          <w:color w:val="000000" w:themeColor="text1"/>
        </w:rPr>
      </w:pPr>
    </w:p>
    <w:p w14:paraId="5F37F091"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b/>
          <w:bCs/>
          <w:color w:val="000000"/>
        </w:rPr>
        <w:t>Razón o Ratio de Endeudamiento</w:t>
      </w:r>
      <w:r w:rsidRPr="00242DFB">
        <w:rPr>
          <w:rFonts w:ascii="Arial" w:eastAsia="Arial" w:hAnsi="Arial" w:cs="Arial"/>
          <w:b/>
          <w:bCs/>
          <w:color w:val="000000"/>
          <w:u w:val="single"/>
        </w:rPr>
        <w:t>:</w:t>
      </w:r>
      <w:r w:rsidRPr="00242DFB">
        <w:rPr>
          <w:rFonts w:ascii="Arial" w:eastAsia="Arial" w:hAnsi="Arial" w:cs="Arial"/>
          <w:b/>
          <w:bCs/>
          <w:color w:val="000000"/>
        </w:rPr>
        <w:t xml:space="preserve"> </w:t>
      </w:r>
      <w:r w:rsidRPr="00242DFB">
        <w:rPr>
          <w:rFonts w:ascii="Arial" w:eastAsia="Arial" w:hAnsi="Arial" w:cs="Arial"/>
          <w:color w:val="000000"/>
        </w:rPr>
        <w:t>en el sector salud es un indicador financiero clave que mide la proporción de la deuda total de una entidad (EPS, IPS, hospital) en relación con sus recursos propios o activos.</w:t>
      </w:r>
    </w:p>
    <w:p w14:paraId="0014DAFF" w14:textId="77777777" w:rsidR="009F762E" w:rsidRPr="00242DFB" w:rsidRDefault="009F762E" w:rsidP="002A0E52">
      <w:pPr>
        <w:spacing w:line="360" w:lineRule="auto"/>
        <w:jc w:val="both"/>
        <w:rPr>
          <w:rFonts w:ascii="Arial" w:eastAsia="Arial" w:hAnsi="Arial" w:cs="Arial"/>
          <w:color w:val="000000" w:themeColor="text1"/>
        </w:rPr>
      </w:pPr>
    </w:p>
    <w:p w14:paraId="3B2226D4"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b/>
          <w:bCs/>
          <w:color w:val="000000"/>
        </w:rPr>
        <w:t>Mortalidad Materna</w:t>
      </w:r>
      <w:r w:rsidRPr="00242DFB">
        <w:rPr>
          <w:rFonts w:ascii="Arial" w:eastAsia="Arial" w:hAnsi="Arial" w:cs="Arial"/>
          <w:b/>
          <w:bCs/>
          <w:color w:val="000000"/>
          <w:u w:val="single"/>
        </w:rPr>
        <w:t>:</w:t>
      </w:r>
      <w:r w:rsidRPr="00242DFB">
        <w:rPr>
          <w:rFonts w:ascii="Arial" w:eastAsia="Arial" w:hAnsi="Arial" w:cs="Arial"/>
          <w:color w:val="000000"/>
        </w:rPr>
        <w:t xml:space="preserve"> es la muerte de una mujer durante el embarazo, el parto o dentro de los 42 días posteriores a la terminación del mismo, por causas relacionadas o agravadas por la gestación o su manejo. Es un indicador crítico de la calidad de salud y la equidad social.</w:t>
      </w:r>
    </w:p>
    <w:p w14:paraId="283863B7" w14:textId="77777777" w:rsidR="009F762E" w:rsidRPr="00242DFB" w:rsidRDefault="009F762E" w:rsidP="002A0E52">
      <w:pPr>
        <w:spacing w:line="360" w:lineRule="auto"/>
        <w:jc w:val="both"/>
        <w:rPr>
          <w:rFonts w:ascii="Arial" w:eastAsia="Arial" w:hAnsi="Arial" w:cs="Arial"/>
          <w:color w:val="000000" w:themeColor="text1"/>
        </w:rPr>
      </w:pPr>
    </w:p>
    <w:p w14:paraId="16563CA6"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b/>
          <w:bCs/>
          <w:color w:val="000000"/>
        </w:rPr>
        <w:t>Mortalidad Infantil</w:t>
      </w:r>
      <w:r w:rsidRPr="00242DFB">
        <w:rPr>
          <w:rFonts w:ascii="Arial" w:eastAsia="Arial" w:hAnsi="Arial" w:cs="Arial"/>
          <w:b/>
          <w:bCs/>
          <w:color w:val="000000"/>
          <w:u w:val="single"/>
        </w:rPr>
        <w:t>:</w:t>
      </w:r>
      <w:r w:rsidRPr="00242DFB">
        <w:rPr>
          <w:rFonts w:ascii="Arial" w:eastAsia="Arial" w:hAnsi="Arial" w:cs="Arial"/>
          <w:color w:val="000000"/>
        </w:rPr>
        <w:t xml:space="preserve"> se refiere a la muerte de niños menores de un año, siendo un indicador clave de salud pública que mide el bienestar general y el acceso a servicios de salud de una población. Generalmente se calcula como la tasa de defunciones por cada 1.000 nacidos vivos, incluyendo la mortalidad neonatal (primeros 28 días).</w:t>
      </w:r>
    </w:p>
    <w:p w14:paraId="056165A1" w14:textId="77777777" w:rsidR="009F762E" w:rsidRPr="00242DFB" w:rsidRDefault="009F762E" w:rsidP="002A0E52">
      <w:pPr>
        <w:spacing w:line="360" w:lineRule="auto"/>
        <w:jc w:val="both"/>
        <w:rPr>
          <w:rFonts w:ascii="Arial" w:eastAsia="Arial" w:hAnsi="Arial" w:cs="Arial"/>
          <w:color w:val="000000" w:themeColor="text1"/>
        </w:rPr>
      </w:pPr>
    </w:p>
    <w:p w14:paraId="0484833F"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hAnsi="Arial" w:cs="Arial"/>
          <w:color w:val="000000"/>
        </w:rPr>
        <w:t xml:space="preserve">Red prestadora de salud: es el conjunto articulado y organizado de clínicas, hospitales, laboratorios y médicos (IPS) que tienen contrato con una EPS o aseguradora para brindar servicios de salud a sus afiliados. </w:t>
      </w:r>
    </w:p>
    <w:p w14:paraId="6AABAC60" w14:textId="77777777" w:rsidR="009F762E" w:rsidRPr="00242DFB" w:rsidRDefault="009F762E" w:rsidP="002A0E52">
      <w:pPr>
        <w:spacing w:line="360" w:lineRule="auto"/>
        <w:jc w:val="both"/>
        <w:rPr>
          <w:rFonts w:ascii="Arial" w:eastAsia="Arial" w:hAnsi="Arial" w:cs="Arial"/>
          <w:color w:val="000000" w:themeColor="text1"/>
        </w:rPr>
      </w:pPr>
    </w:p>
    <w:p w14:paraId="5700CA52"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b/>
          <w:bCs/>
          <w:color w:val="000000"/>
        </w:rPr>
        <w:t>Capacidad Instalada</w:t>
      </w:r>
      <w:r w:rsidRPr="00242DFB">
        <w:rPr>
          <w:rFonts w:ascii="Arial" w:eastAsia="Arial" w:hAnsi="Arial" w:cs="Arial"/>
          <w:b/>
          <w:bCs/>
          <w:color w:val="000000"/>
          <w:u w:val="single"/>
        </w:rPr>
        <w:t>:</w:t>
      </w:r>
      <w:r w:rsidRPr="00242DFB">
        <w:rPr>
          <w:rFonts w:ascii="Arial" w:eastAsia="Arial" w:hAnsi="Arial" w:cs="Arial"/>
          <w:color w:val="000000"/>
        </w:rPr>
        <w:t xml:space="preserve"> en salud es el conjunto de recursos físicos, humanos, técnicos y administrativos habilitados en una IPS (Institución Prestadora de Servicios) para brindar atención médica. Define el volumen máximo de servicios —</w:t>
      </w:r>
      <w:r w:rsidRPr="00242DFB">
        <w:rPr>
          <w:rFonts w:ascii="Arial" w:eastAsia="Arial" w:hAnsi="Arial" w:cs="Arial"/>
          <w:color w:val="000000"/>
        </w:rPr>
        <w:lastRenderedPageBreak/>
        <w:t>camas, consultas, cirugías— que una institución puede ofrecer en un tiempo determinado.</w:t>
      </w:r>
    </w:p>
    <w:p w14:paraId="545E97C3" w14:textId="77777777" w:rsidR="009F762E" w:rsidRPr="00242DFB" w:rsidRDefault="009F762E" w:rsidP="002A0E52">
      <w:pPr>
        <w:spacing w:line="360" w:lineRule="auto"/>
        <w:jc w:val="both"/>
        <w:rPr>
          <w:rFonts w:ascii="Arial" w:eastAsia="Arial" w:hAnsi="Arial" w:cs="Arial"/>
          <w:color w:val="000000" w:themeColor="text1"/>
        </w:rPr>
      </w:pPr>
    </w:p>
    <w:p w14:paraId="4BF0E3DD" w14:textId="77777777" w:rsidR="009F762E" w:rsidRPr="00242DFB" w:rsidRDefault="00000000" w:rsidP="002A0E52">
      <w:pPr>
        <w:spacing w:line="360" w:lineRule="auto"/>
        <w:jc w:val="both"/>
        <w:rPr>
          <w:rFonts w:ascii="Arial" w:eastAsia="Arial" w:hAnsi="Arial" w:cs="Arial"/>
          <w:color w:val="000000" w:themeColor="text1"/>
        </w:rPr>
      </w:pPr>
      <w:r w:rsidRPr="00242DFB">
        <w:rPr>
          <w:rFonts w:ascii="Arial" w:eastAsia="Arial" w:hAnsi="Arial" w:cs="Arial"/>
          <w:b/>
          <w:bCs/>
          <w:color w:val="000000"/>
        </w:rPr>
        <w:t>Suficiencia de Red en Salud</w:t>
      </w:r>
      <w:r w:rsidRPr="00242DFB">
        <w:rPr>
          <w:rFonts w:ascii="Arial" w:eastAsia="Arial" w:hAnsi="Arial" w:cs="Arial"/>
          <w:b/>
          <w:bCs/>
          <w:color w:val="000000"/>
          <w:u w:val="single"/>
        </w:rPr>
        <w:t>:</w:t>
      </w:r>
      <w:r w:rsidRPr="00242DFB">
        <w:rPr>
          <w:rFonts w:ascii="Arial" w:eastAsia="Arial" w:hAnsi="Arial" w:cs="Arial"/>
          <w:color w:val="000000"/>
        </w:rPr>
        <w:t xml:space="preserve"> es la capacidad instalada —infraestructura, talento humano, equipos y recursos financieros— que garantiza la prestación oportuna, integral y accesible de servicios médicos a la población adscrita. Mide el equilibrio entre la oferta de servicios y la demanda real para evitar barreras de acceso.</w:t>
      </w:r>
    </w:p>
    <w:p w14:paraId="73626ED2" w14:textId="77777777" w:rsidR="009F762E" w:rsidRPr="00242DFB" w:rsidRDefault="009F762E" w:rsidP="002A0E52">
      <w:pPr>
        <w:spacing w:line="360" w:lineRule="auto"/>
        <w:jc w:val="both"/>
        <w:rPr>
          <w:rFonts w:ascii="Arial" w:eastAsia="Arial" w:hAnsi="Arial" w:cs="Arial"/>
          <w:color w:val="000000" w:themeColor="text1"/>
        </w:rPr>
      </w:pPr>
    </w:p>
    <w:p w14:paraId="224270D1" w14:textId="77777777" w:rsidR="009F762E" w:rsidRPr="00242DFB" w:rsidRDefault="00000000" w:rsidP="002A0E52">
      <w:pPr>
        <w:spacing w:line="360" w:lineRule="auto"/>
        <w:jc w:val="both"/>
        <w:rPr>
          <w:rFonts w:ascii="Arial" w:hAnsi="Arial" w:cs="Arial"/>
          <w:color w:val="000000" w:themeColor="text1"/>
        </w:rPr>
      </w:pPr>
      <w:r w:rsidRPr="00242DFB">
        <w:rPr>
          <w:rFonts w:ascii="Arial" w:eastAsia="Arial" w:hAnsi="Arial" w:cs="Arial"/>
          <w:b/>
          <w:bCs/>
          <w:color w:val="000000"/>
        </w:rPr>
        <w:t>Dispensación de Medicamentos</w:t>
      </w:r>
      <w:r w:rsidRPr="00242DFB">
        <w:rPr>
          <w:rFonts w:ascii="Arial" w:eastAsia="Arial" w:hAnsi="Arial" w:cs="Arial"/>
          <w:b/>
          <w:bCs/>
          <w:color w:val="000000"/>
          <w:u w:val="single"/>
        </w:rPr>
        <w:t>:</w:t>
      </w:r>
      <w:r w:rsidRPr="00242DFB">
        <w:rPr>
          <w:rFonts w:ascii="Arial" w:eastAsia="Arial" w:hAnsi="Arial" w:cs="Arial"/>
          <w:color w:val="000000"/>
        </w:rPr>
        <w:t xml:space="preserve"> es el acto profesional farmacéutico de entregar uno o más medicamentos a un paciente, generalmente bajo receta médica, que incluye la interpretación de la orden, verificación de idoneidad, preparación, etiquetado y, crucialmente, la asesoría sobre su uso correcto, dosis, interacciones y conservación.</w:t>
      </w:r>
    </w:p>
    <w:p w14:paraId="69EEC595" w14:textId="77777777" w:rsidR="009F762E" w:rsidRPr="00242DFB" w:rsidRDefault="009F762E" w:rsidP="002A0E52">
      <w:pPr>
        <w:spacing w:line="360" w:lineRule="auto"/>
        <w:ind w:firstLine="709"/>
        <w:jc w:val="both"/>
        <w:rPr>
          <w:rFonts w:ascii="Arial" w:eastAsia="Arial" w:hAnsi="Arial" w:cs="Arial"/>
          <w:b/>
          <w:bCs/>
          <w:color w:val="000000" w:themeColor="text1"/>
        </w:rPr>
      </w:pPr>
    </w:p>
    <w:p w14:paraId="081EE629" w14:textId="77777777" w:rsidR="009F762E" w:rsidRPr="00242DFB" w:rsidRDefault="00000000" w:rsidP="002A0E52">
      <w:pPr>
        <w:spacing w:line="360" w:lineRule="auto"/>
        <w:jc w:val="both"/>
        <w:rPr>
          <w:rFonts w:ascii="Arial" w:hAnsi="Arial" w:cs="Arial"/>
          <w:b/>
          <w:color w:val="000000" w:themeColor="text1"/>
        </w:rPr>
      </w:pPr>
      <w:r w:rsidRPr="00242DFB">
        <w:rPr>
          <w:rFonts w:ascii="Arial" w:hAnsi="Arial" w:cs="Arial"/>
          <w:b/>
          <w:color w:val="000000"/>
        </w:rPr>
        <w:t>11. BIBLIOGRAFÍA</w:t>
      </w:r>
    </w:p>
    <w:p w14:paraId="24705E21" w14:textId="77777777" w:rsidR="009F762E" w:rsidRPr="00242DFB" w:rsidRDefault="00000000" w:rsidP="002A0E52">
      <w:pPr>
        <w:spacing w:line="360" w:lineRule="auto"/>
        <w:ind w:firstLine="709"/>
        <w:jc w:val="both"/>
        <w:rPr>
          <w:rFonts w:ascii="Arial" w:hAnsi="Arial" w:cs="Arial"/>
          <w:color w:val="000000" w:themeColor="text1"/>
        </w:rPr>
      </w:pPr>
      <w:r w:rsidRPr="00242DFB">
        <w:rPr>
          <w:rFonts w:ascii="Arial" w:hAnsi="Arial" w:cs="Arial"/>
          <w:color w:val="000000"/>
        </w:rPr>
        <w:t xml:space="preserve">Administradora de los Recursos del Sistema General de Seguridad Social en Salud (ADRES). (s. f.). </w:t>
      </w:r>
      <w:r w:rsidRPr="00242DFB">
        <w:rPr>
          <w:rFonts w:ascii="Arial" w:hAnsi="Arial" w:cs="Arial"/>
          <w:i/>
          <w:iCs/>
          <w:color w:val="000000"/>
        </w:rPr>
        <w:t>Base de Datos Única de Afiliados (BDUA): Consulta de afiliados</w:t>
      </w:r>
      <w:r w:rsidRPr="00242DFB">
        <w:rPr>
          <w:rFonts w:ascii="Arial" w:hAnsi="Arial" w:cs="Arial"/>
          <w:color w:val="000000"/>
        </w:rPr>
        <w:t xml:space="preserve">. Recuperado mayo de 2026. </w:t>
      </w:r>
      <w:hyperlink r:id="rId32">
        <w:r w:rsidRPr="00242DFB">
          <w:rPr>
            <w:rStyle w:val="Hipervnculo"/>
            <w:rFonts w:ascii="Arial" w:hAnsi="Arial" w:cs="Arial"/>
            <w:color w:val="000000" w:themeColor="text1"/>
          </w:rPr>
          <w:t>https://servicios.adres.gov.co/BDUA/Consulta-Afiliados-BDUA</w:t>
        </w:r>
      </w:hyperlink>
      <w:r w:rsidRPr="00242DFB">
        <w:rPr>
          <w:rFonts w:ascii="Arial" w:hAnsi="Arial" w:cs="Arial"/>
          <w:color w:val="000000"/>
        </w:rPr>
        <w:t xml:space="preserve"> </w:t>
      </w:r>
    </w:p>
    <w:p w14:paraId="05D7EA6A" w14:textId="77777777" w:rsidR="009F762E" w:rsidRPr="00242DFB" w:rsidRDefault="00000000" w:rsidP="002A0E52">
      <w:pPr>
        <w:spacing w:line="360" w:lineRule="auto"/>
        <w:ind w:firstLine="709"/>
        <w:jc w:val="both"/>
        <w:rPr>
          <w:rFonts w:ascii="Arial" w:hAnsi="Arial" w:cs="Arial"/>
          <w:color w:val="000000" w:themeColor="text1"/>
        </w:rPr>
      </w:pPr>
      <w:r w:rsidRPr="00242DFB">
        <w:rPr>
          <w:rFonts w:ascii="Arial" w:hAnsi="Arial" w:cs="Arial"/>
          <w:color w:val="000000"/>
        </w:rPr>
        <w:t xml:space="preserve">Congreso de la República de Colombia. (1993, 23 de diciembre). </w:t>
      </w:r>
      <w:r w:rsidRPr="00242DFB">
        <w:rPr>
          <w:rFonts w:ascii="Arial" w:hAnsi="Arial" w:cs="Arial"/>
          <w:i/>
          <w:iCs/>
          <w:color w:val="000000"/>
        </w:rPr>
        <w:t>Ley 100 de 1993: Por la cual se crea el Sistema de Seguridad Social Integral y se dictan otras disposiciones</w:t>
      </w:r>
      <w:r w:rsidRPr="00242DFB">
        <w:rPr>
          <w:rFonts w:ascii="Arial" w:hAnsi="Arial" w:cs="Arial"/>
          <w:color w:val="000000"/>
        </w:rPr>
        <w:t xml:space="preserve">. </w:t>
      </w:r>
      <w:hyperlink r:id="rId33" w:tgtFrame="_new">
        <w:r w:rsidRPr="00242DFB">
          <w:rPr>
            <w:rStyle w:val="Hipervnculo"/>
            <w:rFonts w:ascii="Arial" w:hAnsi="Arial" w:cs="Arial"/>
            <w:color w:val="000000" w:themeColor="text1"/>
          </w:rPr>
          <w:t>https://www.secretariasenado.gov.co/senado/basedoc/ley_0100_1993.html</w:t>
        </w:r>
      </w:hyperlink>
      <w:r w:rsidRPr="00242DFB">
        <w:rPr>
          <w:rFonts w:ascii="Arial" w:hAnsi="Arial" w:cs="Arial"/>
          <w:color w:val="000000"/>
        </w:rPr>
        <w:t xml:space="preserve"> </w:t>
      </w:r>
    </w:p>
    <w:p w14:paraId="4748907E" w14:textId="77777777" w:rsidR="009F762E" w:rsidRPr="00242DFB" w:rsidRDefault="00000000" w:rsidP="002A0E52">
      <w:pPr>
        <w:spacing w:line="360" w:lineRule="auto"/>
        <w:ind w:firstLine="709"/>
        <w:jc w:val="both"/>
        <w:rPr>
          <w:rFonts w:ascii="Arial" w:hAnsi="Arial" w:cs="Arial"/>
          <w:color w:val="000000" w:themeColor="text1"/>
        </w:rPr>
      </w:pPr>
      <w:r w:rsidRPr="00242DFB">
        <w:rPr>
          <w:rFonts w:ascii="Arial" w:hAnsi="Arial" w:cs="Arial"/>
          <w:color w:val="000000"/>
        </w:rPr>
        <w:t xml:space="preserve">Congreso de la República de Colombia. (2001, 21 de diciembre). </w:t>
      </w:r>
      <w:r w:rsidRPr="00242DFB">
        <w:rPr>
          <w:rFonts w:ascii="Arial" w:hAnsi="Arial" w:cs="Arial"/>
          <w:i/>
          <w:iCs/>
          <w:color w:val="000000"/>
        </w:rPr>
        <w:t>Ley 715 de 2001: Por la cual se dictan normas orgánicas en materia de recursos y competencias…</w:t>
      </w:r>
      <w:r w:rsidRPr="00242DFB">
        <w:rPr>
          <w:rFonts w:ascii="Arial" w:hAnsi="Arial" w:cs="Arial"/>
          <w:color w:val="000000"/>
        </w:rPr>
        <w:t xml:space="preserve">. </w:t>
      </w:r>
      <w:hyperlink r:id="rId34" w:tgtFrame="_new">
        <w:r w:rsidRPr="00242DFB">
          <w:rPr>
            <w:rStyle w:val="Hipervnculo"/>
            <w:rFonts w:ascii="Arial" w:hAnsi="Arial" w:cs="Arial"/>
            <w:color w:val="000000" w:themeColor="text1"/>
          </w:rPr>
          <w:t>https://www.secretariasenado.gov.co/senado/basedoc/ley_0715_2001.html</w:t>
        </w:r>
      </w:hyperlink>
      <w:r w:rsidRPr="00242DFB">
        <w:rPr>
          <w:rFonts w:ascii="Arial" w:hAnsi="Arial" w:cs="Arial"/>
          <w:color w:val="000000"/>
        </w:rPr>
        <w:t xml:space="preserve"> </w:t>
      </w:r>
    </w:p>
    <w:p w14:paraId="45DBFD27" w14:textId="77777777" w:rsidR="009F762E" w:rsidRPr="00242DFB" w:rsidRDefault="00000000" w:rsidP="002A0E52">
      <w:pPr>
        <w:spacing w:line="360" w:lineRule="auto"/>
        <w:ind w:firstLine="709"/>
        <w:jc w:val="both"/>
        <w:rPr>
          <w:rFonts w:ascii="Arial" w:hAnsi="Arial" w:cs="Arial"/>
          <w:color w:val="000000" w:themeColor="text1"/>
        </w:rPr>
      </w:pPr>
      <w:r w:rsidRPr="00242DFB">
        <w:rPr>
          <w:rFonts w:ascii="Arial" w:hAnsi="Arial" w:cs="Arial"/>
          <w:color w:val="000000"/>
        </w:rPr>
        <w:t xml:space="preserve">Congreso de la República de Colombia. (2007, 9 de enero). </w:t>
      </w:r>
      <w:r w:rsidRPr="00242DFB">
        <w:rPr>
          <w:rFonts w:ascii="Arial" w:hAnsi="Arial" w:cs="Arial"/>
          <w:i/>
          <w:iCs/>
          <w:color w:val="000000"/>
        </w:rPr>
        <w:t>Ley 1122 de 2007: Por la cual se hacen algunas modificaciones en el Sistema General de Seguridad Social en Salud y se dictan otras disposiciones</w:t>
      </w:r>
      <w:r w:rsidRPr="00242DFB">
        <w:rPr>
          <w:rFonts w:ascii="Arial" w:hAnsi="Arial" w:cs="Arial"/>
          <w:color w:val="000000"/>
        </w:rPr>
        <w:t xml:space="preserve">. </w:t>
      </w:r>
      <w:hyperlink r:id="rId35" w:tgtFrame="_new">
        <w:r w:rsidRPr="00242DFB">
          <w:rPr>
            <w:rStyle w:val="Hipervnculo"/>
            <w:rFonts w:ascii="Arial" w:hAnsi="Arial" w:cs="Arial"/>
            <w:color w:val="000000" w:themeColor="text1"/>
          </w:rPr>
          <w:t>https://www.secretariasenado.gov.co/senado/basedoc/ley_1122_2007.html</w:t>
        </w:r>
      </w:hyperlink>
      <w:r w:rsidRPr="00242DFB">
        <w:rPr>
          <w:rFonts w:ascii="Arial" w:hAnsi="Arial" w:cs="Arial"/>
          <w:color w:val="000000"/>
        </w:rPr>
        <w:t xml:space="preserve"> </w:t>
      </w:r>
    </w:p>
    <w:p w14:paraId="238B90AB" w14:textId="77777777" w:rsidR="009F762E" w:rsidRPr="00242DFB" w:rsidRDefault="00000000" w:rsidP="002A0E52">
      <w:pPr>
        <w:spacing w:line="360" w:lineRule="auto"/>
        <w:ind w:firstLine="709"/>
        <w:jc w:val="both"/>
        <w:rPr>
          <w:rFonts w:ascii="Arial" w:hAnsi="Arial" w:cs="Arial"/>
          <w:color w:val="000000" w:themeColor="text1"/>
        </w:rPr>
      </w:pPr>
      <w:r w:rsidRPr="00242DFB">
        <w:rPr>
          <w:rFonts w:ascii="Arial" w:hAnsi="Arial" w:cs="Arial"/>
          <w:color w:val="000000"/>
        </w:rPr>
        <w:lastRenderedPageBreak/>
        <w:t xml:space="preserve">Congreso de la República de Colombia. (2011, 18 de enero). </w:t>
      </w:r>
      <w:r w:rsidRPr="00242DFB">
        <w:rPr>
          <w:rFonts w:ascii="Arial" w:hAnsi="Arial" w:cs="Arial"/>
          <w:i/>
          <w:iCs/>
          <w:color w:val="000000"/>
        </w:rPr>
        <w:t>Ley 1437 de 2011: Por la cual se expide el Código de Procedimiento Administrativo y de lo Contencioso Administrativo</w:t>
      </w:r>
      <w:r w:rsidRPr="00242DFB">
        <w:rPr>
          <w:rFonts w:ascii="Arial" w:hAnsi="Arial" w:cs="Arial"/>
          <w:color w:val="000000"/>
        </w:rPr>
        <w:t xml:space="preserve">. </w:t>
      </w:r>
      <w:hyperlink r:id="rId36" w:tgtFrame="_new">
        <w:r w:rsidRPr="00242DFB">
          <w:rPr>
            <w:rStyle w:val="Hipervnculo"/>
            <w:rFonts w:ascii="Arial" w:hAnsi="Arial" w:cs="Arial"/>
            <w:color w:val="000000" w:themeColor="text1"/>
          </w:rPr>
          <w:t>https://www.alcaldiabogota.gov.co/sisjur/normas/Norma1.jsp?i=41249</w:t>
        </w:r>
      </w:hyperlink>
      <w:r w:rsidRPr="00242DFB">
        <w:rPr>
          <w:rFonts w:ascii="Arial" w:hAnsi="Arial" w:cs="Arial"/>
          <w:color w:val="000000"/>
        </w:rPr>
        <w:t xml:space="preserve"> </w:t>
      </w:r>
    </w:p>
    <w:p w14:paraId="3C39BF3F" w14:textId="77777777" w:rsidR="009F762E" w:rsidRPr="00242DFB" w:rsidRDefault="00000000" w:rsidP="002A0E52">
      <w:pPr>
        <w:spacing w:line="360" w:lineRule="auto"/>
        <w:ind w:firstLine="709"/>
        <w:jc w:val="both"/>
        <w:rPr>
          <w:rFonts w:ascii="Arial" w:hAnsi="Arial" w:cs="Arial"/>
          <w:color w:val="000000" w:themeColor="text1"/>
        </w:rPr>
      </w:pPr>
      <w:r w:rsidRPr="00242DFB">
        <w:rPr>
          <w:rFonts w:ascii="Arial" w:hAnsi="Arial" w:cs="Arial"/>
          <w:color w:val="000000"/>
        </w:rPr>
        <w:t xml:space="preserve">Congreso de la República de Colombia. (2011, 19 de enero). </w:t>
      </w:r>
      <w:r w:rsidRPr="00242DFB">
        <w:rPr>
          <w:rFonts w:ascii="Arial" w:hAnsi="Arial" w:cs="Arial"/>
          <w:i/>
          <w:iCs/>
          <w:color w:val="000000"/>
        </w:rPr>
        <w:t>Ley 1438 de 2011: Por medio de la cual se reforma el Sistema General de Seguridad Social en Salud y se dictan otras disposiciones</w:t>
      </w:r>
      <w:r w:rsidRPr="00242DFB">
        <w:rPr>
          <w:rFonts w:ascii="Arial" w:hAnsi="Arial" w:cs="Arial"/>
          <w:color w:val="000000"/>
        </w:rPr>
        <w:t xml:space="preserve">. </w:t>
      </w:r>
      <w:hyperlink r:id="rId37" w:tgtFrame="_new">
        <w:r w:rsidRPr="00242DFB">
          <w:rPr>
            <w:rStyle w:val="Hipervnculo"/>
            <w:rFonts w:ascii="Arial" w:hAnsi="Arial" w:cs="Arial"/>
            <w:color w:val="000000" w:themeColor="text1"/>
          </w:rPr>
          <w:t>https://www.secretariasenado.gov.co/senado/basedoc/ley_1438_2011.html</w:t>
        </w:r>
      </w:hyperlink>
      <w:r w:rsidRPr="00242DFB">
        <w:rPr>
          <w:rFonts w:ascii="Arial" w:hAnsi="Arial" w:cs="Arial"/>
          <w:color w:val="000000"/>
        </w:rPr>
        <w:t xml:space="preserve"> </w:t>
      </w:r>
    </w:p>
    <w:p w14:paraId="0E6AA689" w14:textId="77777777" w:rsidR="009F762E" w:rsidRPr="00242DFB" w:rsidRDefault="00000000" w:rsidP="002A0E52">
      <w:pPr>
        <w:spacing w:line="360" w:lineRule="auto"/>
        <w:ind w:firstLine="709"/>
        <w:jc w:val="both"/>
        <w:rPr>
          <w:rFonts w:ascii="Arial" w:hAnsi="Arial" w:cs="Arial"/>
          <w:color w:val="000000" w:themeColor="text1"/>
        </w:rPr>
      </w:pPr>
      <w:r w:rsidRPr="00242DFB">
        <w:rPr>
          <w:rFonts w:ascii="Arial" w:hAnsi="Arial" w:cs="Arial"/>
          <w:color w:val="000000"/>
        </w:rPr>
        <w:t xml:space="preserve">Congreso de la República de Colombia. (2015, 16 de febrero). </w:t>
      </w:r>
      <w:r w:rsidRPr="00242DFB">
        <w:rPr>
          <w:rFonts w:ascii="Arial" w:hAnsi="Arial" w:cs="Arial"/>
          <w:i/>
          <w:iCs/>
          <w:color w:val="000000"/>
        </w:rPr>
        <w:t>Ley Estatutaria 1751 de 2015: Por medio de la cual se regula el derecho fundamental a la salud y se dictan otras disposiciones</w:t>
      </w:r>
      <w:r w:rsidRPr="00242DFB">
        <w:rPr>
          <w:rFonts w:ascii="Arial" w:hAnsi="Arial" w:cs="Arial"/>
          <w:color w:val="000000"/>
        </w:rPr>
        <w:t xml:space="preserve">. </w:t>
      </w:r>
      <w:hyperlink r:id="rId38" w:tgtFrame="_new">
        <w:r w:rsidRPr="00242DFB">
          <w:rPr>
            <w:rStyle w:val="Hipervnculo"/>
            <w:rFonts w:ascii="Arial" w:hAnsi="Arial" w:cs="Arial"/>
            <w:color w:val="000000" w:themeColor="text1"/>
          </w:rPr>
          <w:t>https://www.secretariasenado.gov.co/senado/basedoc/ley_1751_2015.html</w:t>
        </w:r>
      </w:hyperlink>
      <w:r w:rsidRPr="00242DFB">
        <w:rPr>
          <w:rFonts w:ascii="Arial" w:hAnsi="Arial" w:cs="Arial"/>
          <w:color w:val="000000"/>
        </w:rPr>
        <w:t xml:space="preserve"> </w:t>
      </w:r>
    </w:p>
    <w:p w14:paraId="2C8396A9" w14:textId="77777777" w:rsidR="009F762E" w:rsidRPr="00242DFB" w:rsidRDefault="00000000" w:rsidP="002A0E52">
      <w:pPr>
        <w:spacing w:line="360" w:lineRule="auto"/>
        <w:ind w:firstLine="709"/>
        <w:jc w:val="both"/>
        <w:rPr>
          <w:rFonts w:ascii="Arial" w:hAnsi="Arial" w:cs="Arial"/>
          <w:color w:val="000000" w:themeColor="text1"/>
        </w:rPr>
      </w:pPr>
      <w:r w:rsidRPr="00242DFB">
        <w:rPr>
          <w:rFonts w:ascii="Arial" w:hAnsi="Arial" w:cs="Arial"/>
          <w:color w:val="000000"/>
        </w:rPr>
        <w:t xml:space="preserve">Congreso de la República de Colombia. (2015, 30 de junio). </w:t>
      </w:r>
      <w:r w:rsidRPr="00242DFB">
        <w:rPr>
          <w:rFonts w:ascii="Arial" w:hAnsi="Arial" w:cs="Arial"/>
          <w:i/>
          <w:iCs/>
          <w:color w:val="000000"/>
        </w:rPr>
        <w:t>Ley 1755 de 2015: Por medio de la cual se regula el derecho fundamental de petición y se sustituye un título del Código de Procedimiento Administrativo y de lo Contencioso Administrativo</w:t>
      </w:r>
      <w:r w:rsidRPr="00242DFB">
        <w:rPr>
          <w:rFonts w:ascii="Arial" w:hAnsi="Arial" w:cs="Arial"/>
          <w:color w:val="000000"/>
        </w:rPr>
        <w:t xml:space="preserve">. </w:t>
      </w:r>
      <w:hyperlink r:id="rId39" w:tgtFrame="_new">
        <w:r w:rsidRPr="00242DFB">
          <w:rPr>
            <w:rStyle w:val="Hipervnculo"/>
            <w:rFonts w:ascii="Arial" w:hAnsi="Arial" w:cs="Arial"/>
            <w:color w:val="000000" w:themeColor="text1"/>
          </w:rPr>
          <w:t>https://www.alcaldiabogota.gov.co/sisjur/normas/Norma1.jsp?i=62152</w:t>
        </w:r>
      </w:hyperlink>
      <w:r w:rsidRPr="00242DFB">
        <w:rPr>
          <w:rFonts w:ascii="Arial" w:hAnsi="Arial" w:cs="Arial"/>
          <w:color w:val="000000"/>
        </w:rPr>
        <w:t xml:space="preserve"> </w:t>
      </w:r>
    </w:p>
    <w:p w14:paraId="4F379069" w14:textId="77777777" w:rsidR="009F762E" w:rsidRPr="00242DFB" w:rsidRDefault="00000000" w:rsidP="002A0E52">
      <w:pPr>
        <w:spacing w:line="360" w:lineRule="auto"/>
        <w:ind w:firstLine="709"/>
        <w:jc w:val="both"/>
        <w:rPr>
          <w:rFonts w:ascii="Arial" w:hAnsi="Arial" w:cs="Arial"/>
          <w:color w:val="000000" w:themeColor="text1"/>
        </w:rPr>
      </w:pPr>
      <w:r w:rsidRPr="00242DFB">
        <w:rPr>
          <w:rFonts w:ascii="Arial" w:hAnsi="Arial" w:cs="Arial"/>
          <w:color w:val="000000"/>
        </w:rPr>
        <w:t xml:space="preserve">Departamento Administrativo Nacional de Estadística (DANE). (s. f.). </w:t>
      </w:r>
      <w:r w:rsidRPr="00242DFB">
        <w:rPr>
          <w:rFonts w:ascii="Arial" w:hAnsi="Arial" w:cs="Arial"/>
          <w:i/>
          <w:iCs/>
          <w:color w:val="000000"/>
        </w:rPr>
        <w:t>Proyecciones de población: Actualización post COVID-19 (CNPV 2018)</w:t>
      </w:r>
      <w:r w:rsidRPr="00242DFB">
        <w:rPr>
          <w:rFonts w:ascii="Arial" w:hAnsi="Arial" w:cs="Arial"/>
          <w:color w:val="000000"/>
        </w:rPr>
        <w:t xml:space="preserve">. Recuperado el 20 de febrero de 2026. </w:t>
      </w:r>
      <w:hyperlink r:id="rId40" w:tgtFrame="_new">
        <w:r w:rsidRPr="00242DFB">
          <w:rPr>
            <w:rStyle w:val="Hipervnculo"/>
            <w:rFonts w:ascii="Arial" w:hAnsi="Arial" w:cs="Arial"/>
            <w:color w:val="000000" w:themeColor="text1"/>
          </w:rPr>
          <w:t>https://www.dane.gov.co/index.php/estadisticas-por-tema/demografia-y-poblacion/proyecciones-de-poblacion</w:t>
        </w:r>
      </w:hyperlink>
      <w:r w:rsidRPr="00242DFB">
        <w:rPr>
          <w:rFonts w:ascii="Arial" w:hAnsi="Arial" w:cs="Arial"/>
          <w:color w:val="000000"/>
        </w:rPr>
        <w:t xml:space="preserve"> </w:t>
      </w:r>
    </w:p>
    <w:p w14:paraId="21ABDCC5" w14:textId="77777777" w:rsidR="009F762E" w:rsidRPr="00242DFB" w:rsidRDefault="009F762E" w:rsidP="002A0E52">
      <w:pPr>
        <w:spacing w:line="360" w:lineRule="auto"/>
        <w:ind w:firstLine="709"/>
        <w:jc w:val="both"/>
        <w:rPr>
          <w:rFonts w:ascii="Arial" w:hAnsi="Arial" w:cs="Arial"/>
          <w:color w:val="000000" w:themeColor="text1"/>
        </w:rPr>
      </w:pPr>
    </w:p>
    <w:p w14:paraId="59413620" w14:textId="77777777" w:rsidR="009F762E" w:rsidRPr="00242DFB" w:rsidRDefault="00000000" w:rsidP="002A0E52">
      <w:pPr>
        <w:spacing w:line="360" w:lineRule="auto"/>
        <w:ind w:firstLine="709"/>
        <w:jc w:val="both"/>
        <w:rPr>
          <w:rFonts w:ascii="Arial" w:hAnsi="Arial" w:cs="Arial"/>
          <w:color w:val="000000" w:themeColor="text1"/>
        </w:rPr>
      </w:pPr>
      <w:r w:rsidRPr="00242DFB">
        <w:rPr>
          <w:rFonts w:ascii="Arial" w:hAnsi="Arial" w:cs="Arial"/>
          <w:color w:val="000000"/>
        </w:rPr>
        <w:t xml:space="preserve">Ministerio de Salud y Protección Social. (2018, 2 de agosto). </w:t>
      </w:r>
      <w:r w:rsidRPr="00242DFB">
        <w:rPr>
          <w:rFonts w:ascii="Arial" w:hAnsi="Arial" w:cs="Arial"/>
          <w:i/>
          <w:iCs/>
          <w:color w:val="000000"/>
        </w:rPr>
        <w:t>Resolución 3280 de 2018: Por la cual se adoptan los lineamientos técnicos y operativos de la Ruta Integral de Atención para la Promoción y Mantenimiento de la Salud y la Ruta Integral de Atención en Salud para la Población Materno Perinatal, y se dictan otras disposiciones</w:t>
      </w:r>
      <w:r w:rsidRPr="00242DFB">
        <w:rPr>
          <w:rFonts w:ascii="Arial" w:hAnsi="Arial" w:cs="Arial"/>
          <w:color w:val="000000"/>
        </w:rPr>
        <w:t xml:space="preserve"> [PDF]. </w:t>
      </w:r>
      <w:hyperlink r:id="rId41" w:tgtFrame="_new">
        <w:r w:rsidRPr="00242DFB">
          <w:rPr>
            <w:rStyle w:val="Hipervnculo"/>
            <w:rFonts w:ascii="Arial" w:hAnsi="Arial" w:cs="Arial"/>
            <w:color w:val="000000" w:themeColor="text1"/>
          </w:rPr>
          <w:t>https://www.minsalud.gov.co/sites/rid/lists/bibliotecadigital/ride/de/dij/resolucion-3280-de-2018.pdf</w:t>
        </w:r>
      </w:hyperlink>
      <w:r w:rsidRPr="00242DFB">
        <w:rPr>
          <w:rFonts w:ascii="Arial" w:hAnsi="Arial" w:cs="Arial"/>
          <w:color w:val="000000"/>
        </w:rPr>
        <w:t xml:space="preserve"> </w:t>
      </w:r>
    </w:p>
    <w:p w14:paraId="35C64B2F" w14:textId="77777777" w:rsidR="009F762E" w:rsidRPr="00242DFB" w:rsidRDefault="00000000" w:rsidP="002A0E52">
      <w:pPr>
        <w:spacing w:line="360" w:lineRule="auto"/>
        <w:ind w:firstLine="709"/>
        <w:jc w:val="both"/>
        <w:rPr>
          <w:rFonts w:ascii="Arial" w:hAnsi="Arial" w:cs="Arial"/>
          <w:color w:val="000000" w:themeColor="text1"/>
        </w:rPr>
      </w:pPr>
      <w:r w:rsidRPr="00242DFB">
        <w:rPr>
          <w:rFonts w:ascii="Arial" w:hAnsi="Arial" w:cs="Arial"/>
          <w:color w:val="000000"/>
        </w:rPr>
        <w:lastRenderedPageBreak/>
        <w:t xml:space="preserve">Ministerio de Salud y Protección Social. (s. f.). </w:t>
      </w:r>
      <w:r w:rsidRPr="00242DFB">
        <w:rPr>
          <w:rFonts w:ascii="Arial" w:hAnsi="Arial" w:cs="Arial"/>
          <w:i/>
          <w:iCs/>
          <w:color w:val="000000"/>
        </w:rPr>
        <w:t>Cifras de afiliación en salud (corte diciembre 2025)</w:t>
      </w:r>
      <w:r w:rsidRPr="00242DFB">
        <w:rPr>
          <w:rFonts w:ascii="Arial" w:hAnsi="Arial" w:cs="Arial"/>
          <w:color w:val="000000"/>
        </w:rPr>
        <w:t xml:space="preserve">. Recuperado el 20 de febrero de 2026. </w:t>
      </w:r>
      <w:hyperlink r:id="rId42" w:tgtFrame="_new">
        <w:r w:rsidRPr="00242DFB">
          <w:rPr>
            <w:rStyle w:val="Hipervnculo"/>
            <w:rFonts w:ascii="Arial" w:hAnsi="Arial" w:cs="Arial"/>
            <w:color w:val="000000" w:themeColor="text1"/>
          </w:rPr>
          <w:t>https://www.minsalud.gov.co/proteccionsocial/paginas/cifras-aseguramiento-salud.aspx</w:t>
        </w:r>
      </w:hyperlink>
      <w:r w:rsidRPr="00242DFB">
        <w:rPr>
          <w:rFonts w:ascii="Arial" w:hAnsi="Arial" w:cs="Arial"/>
          <w:color w:val="000000"/>
        </w:rPr>
        <w:t xml:space="preserve"> </w:t>
      </w:r>
    </w:p>
    <w:p w14:paraId="133F1096" w14:textId="77777777" w:rsidR="009F762E" w:rsidRPr="00242DFB" w:rsidRDefault="00000000" w:rsidP="002A0E52">
      <w:pPr>
        <w:spacing w:line="360" w:lineRule="auto"/>
        <w:ind w:firstLine="709"/>
        <w:jc w:val="both"/>
        <w:rPr>
          <w:rFonts w:ascii="Arial" w:hAnsi="Arial" w:cs="Arial"/>
          <w:color w:val="000000" w:themeColor="text1"/>
        </w:rPr>
      </w:pPr>
      <w:r w:rsidRPr="00242DFB">
        <w:rPr>
          <w:rFonts w:ascii="Arial" w:hAnsi="Arial" w:cs="Arial"/>
          <w:color w:val="000000"/>
        </w:rPr>
        <w:t xml:space="preserve">Presidencia de la República de Colombia. (2012, 10 de enero). </w:t>
      </w:r>
      <w:r w:rsidRPr="00242DFB">
        <w:rPr>
          <w:rFonts w:ascii="Arial" w:hAnsi="Arial" w:cs="Arial"/>
          <w:i/>
          <w:iCs/>
          <w:color w:val="000000"/>
        </w:rPr>
        <w:t>Decreto Ley 019 de 2012: Por el cual se dictan normas para suprimir o reformar regulaciones, procedimientos y trámites innecesarios existentes en la Administración Pública</w:t>
      </w:r>
      <w:r w:rsidRPr="00242DFB">
        <w:rPr>
          <w:rFonts w:ascii="Arial" w:hAnsi="Arial" w:cs="Arial"/>
          <w:color w:val="000000"/>
        </w:rPr>
        <w:t xml:space="preserve">. </w:t>
      </w:r>
      <w:hyperlink r:id="rId43" w:tgtFrame="_new">
        <w:r w:rsidRPr="00242DFB">
          <w:rPr>
            <w:rStyle w:val="Hipervnculo"/>
            <w:rFonts w:ascii="Arial" w:hAnsi="Arial" w:cs="Arial"/>
            <w:color w:val="000000" w:themeColor="text1"/>
          </w:rPr>
          <w:t>https://www.funcionpublica.gov.co/eva/gestornormativo/norma.php?i=45322</w:t>
        </w:r>
      </w:hyperlink>
      <w:r w:rsidRPr="00242DFB">
        <w:rPr>
          <w:rFonts w:ascii="Arial" w:hAnsi="Arial" w:cs="Arial"/>
          <w:color w:val="000000"/>
        </w:rPr>
        <w:t xml:space="preserve"> </w:t>
      </w:r>
    </w:p>
    <w:p w14:paraId="756BFB0B" w14:textId="77777777" w:rsidR="009F762E" w:rsidRPr="00242DFB" w:rsidRDefault="00000000" w:rsidP="002A0E52">
      <w:pPr>
        <w:spacing w:line="360" w:lineRule="auto"/>
        <w:ind w:firstLine="709"/>
        <w:jc w:val="both"/>
        <w:rPr>
          <w:rFonts w:ascii="Arial" w:hAnsi="Arial" w:cs="Arial"/>
          <w:color w:val="000000" w:themeColor="text1"/>
        </w:rPr>
      </w:pPr>
      <w:r w:rsidRPr="00242DFB">
        <w:rPr>
          <w:rFonts w:ascii="Arial" w:hAnsi="Arial" w:cs="Arial"/>
          <w:color w:val="000000"/>
        </w:rPr>
        <w:t xml:space="preserve">Presidencia de la República de Colombia. (2016, 6 de mayo). </w:t>
      </w:r>
      <w:r w:rsidRPr="00242DFB">
        <w:rPr>
          <w:rFonts w:ascii="Arial" w:hAnsi="Arial" w:cs="Arial"/>
          <w:i/>
          <w:iCs/>
          <w:color w:val="000000"/>
        </w:rPr>
        <w:t>Decreto 780 de 2016: Por medio del cual se expide el Decreto Único Reglamentario del Sector Salud y Protección Social</w:t>
      </w:r>
      <w:r w:rsidRPr="00242DFB">
        <w:rPr>
          <w:rFonts w:ascii="Arial" w:hAnsi="Arial" w:cs="Arial"/>
          <w:color w:val="000000"/>
        </w:rPr>
        <w:t xml:space="preserve">. </w:t>
      </w:r>
      <w:hyperlink r:id="rId44" w:tgtFrame="_new">
        <w:r w:rsidRPr="00242DFB">
          <w:rPr>
            <w:rStyle w:val="Hipervnculo"/>
            <w:rFonts w:ascii="Arial" w:hAnsi="Arial" w:cs="Arial"/>
            <w:color w:val="000000" w:themeColor="text1"/>
          </w:rPr>
          <w:t>https://www.suin-juriscol.gov.co/viewDocument.asp?ruta=Decretos/30021559</w:t>
        </w:r>
      </w:hyperlink>
      <w:r w:rsidRPr="00242DFB">
        <w:rPr>
          <w:rFonts w:ascii="Arial" w:hAnsi="Arial" w:cs="Arial"/>
          <w:color w:val="000000"/>
        </w:rPr>
        <w:t xml:space="preserve"> </w:t>
      </w:r>
    </w:p>
    <w:p w14:paraId="4A8AC9CF" w14:textId="77777777" w:rsidR="009F762E" w:rsidRPr="00242DFB" w:rsidRDefault="00000000" w:rsidP="002A0E52">
      <w:pPr>
        <w:spacing w:line="360" w:lineRule="auto"/>
        <w:ind w:firstLine="709"/>
        <w:jc w:val="both"/>
        <w:rPr>
          <w:rFonts w:ascii="Arial" w:hAnsi="Arial" w:cs="Arial"/>
          <w:color w:val="000000" w:themeColor="text1"/>
        </w:rPr>
      </w:pPr>
      <w:r w:rsidRPr="00242DFB">
        <w:rPr>
          <w:rFonts w:ascii="Arial" w:hAnsi="Arial" w:cs="Arial"/>
          <w:color w:val="000000"/>
        </w:rPr>
        <w:t xml:space="preserve">Secretaría Distrital de Salud de Bogotá, D. C. (2025, 4 de septiembre). </w:t>
      </w:r>
      <w:r w:rsidRPr="00242DFB">
        <w:rPr>
          <w:rFonts w:ascii="Arial" w:hAnsi="Arial" w:cs="Arial"/>
          <w:i/>
          <w:iCs/>
          <w:color w:val="000000"/>
        </w:rPr>
        <w:t>Resolución 943 de 2025: Por la cual se establecen acciones para la atención integral y segura de la población en edad fértil, gestantes y recién nacidos…</w:t>
      </w:r>
      <w:r w:rsidRPr="00242DFB">
        <w:rPr>
          <w:rFonts w:ascii="Arial" w:hAnsi="Arial" w:cs="Arial"/>
          <w:color w:val="000000"/>
        </w:rPr>
        <w:t xml:space="preserve"> </w:t>
      </w:r>
      <w:hyperlink r:id="rId45" w:tgtFrame="_new">
        <w:r w:rsidRPr="00242DFB">
          <w:rPr>
            <w:rStyle w:val="Hipervnculo"/>
            <w:rFonts w:ascii="Arial" w:hAnsi="Arial" w:cs="Arial"/>
            <w:color w:val="000000" w:themeColor="text1"/>
          </w:rPr>
          <w:t>https://www.alcaldiabogota.gov.co/sisjur/normas/Norma1.jsp?i=190983</w:t>
        </w:r>
      </w:hyperlink>
      <w:r w:rsidRPr="00242DFB">
        <w:rPr>
          <w:rFonts w:ascii="Arial" w:hAnsi="Arial" w:cs="Arial"/>
          <w:color w:val="000000"/>
        </w:rPr>
        <w:t xml:space="preserve"> </w:t>
      </w:r>
    </w:p>
    <w:p w14:paraId="496CEAEE" w14:textId="77777777" w:rsidR="009F762E" w:rsidRPr="00242DFB" w:rsidRDefault="00000000" w:rsidP="002A0E52">
      <w:pPr>
        <w:spacing w:line="360" w:lineRule="auto"/>
        <w:ind w:firstLine="709"/>
        <w:jc w:val="both"/>
        <w:rPr>
          <w:rFonts w:ascii="Arial" w:hAnsi="Arial" w:cs="Arial"/>
          <w:color w:val="000000" w:themeColor="text1"/>
        </w:rPr>
      </w:pPr>
      <w:r w:rsidRPr="00242DFB">
        <w:rPr>
          <w:rFonts w:ascii="Arial" w:hAnsi="Arial" w:cs="Arial"/>
          <w:color w:val="000000"/>
        </w:rPr>
        <w:t xml:space="preserve">Superintendencia Nacional de Salud. (2023, 22 de junio). </w:t>
      </w:r>
      <w:r w:rsidRPr="00242DFB">
        <w:rPr>
          <w:rFonts w:ascii="Arial" w:hAnsi="Arial" w:cs="Arial"/>
          <w:i/>
          <w:iCs/>
          <w:color w:val="000000"/>
        </w:rPr>
        <w:t>Circular Externa 2023151000000010-5: Por la cual se modifican los términos para resolver los reclamos en salud…</w:t>
      </w:r>
      <w:r w:rsidRPr="00242DFB">
        <w:rPr>
          <w:rFonts w:ascii="Arial" w:hAnsi="Arial" w:cs="Arial"/>
          <w:color w:val="000000"/>
        </w:rPr>
        <w:t xml:space="preserve"> </w:t>
      </w:r>
      <w:hyperlink r:id="rId46" w:tgtFrame="_new">
        <w:r w:rsidRPr="00242DFB">
          <w:rPr>
            <w:rStyle w:val="Hipervnculo"/>
            <w:rFonts w:ascii="Arial" w:hAnsi="Arial" w:cs="Arial"/>
            <w:color w:val="000000" w:themeColor="text1"/>
          </w:rPr>
          <w:t>https://www.alcaldiabogota.gov.co/sisjur/normas/Norma1.jsp?i=143808</w:t>
        </w:r>
      </w:hyperlink>
      <w:r w:rsidRPr="00242DFB">
        <w:rPr>
          <w:rFonts w:ascii="Arial" w:hAnsi="Arial" w:cs="Arial"/>
          <w:color w:val="000000"/>
        </w:rPr>
        <w:t xml:space="preserve"> </w:t>
      </w:r>
    </w:p>
    <w:p w14:paraId="727D9967" w14:textId="77777777" w:rsidR="009F762E" w:rsidRPr="00242DFB" w:rsidRDefault="009F762E" w:rsidP="002A0E52">
      <w:pPr>
        <w:spacing w:line="360" w:lineRule="auto"/>
        <w:jc w:val="both"/>
        <w:rPr>
          <w:rFonts w:ascii="Arial" w:hAnsi="Arial" w:cs="Arial"/>
          <w:b/>
          <w:bCs/>
          <w:color w:val="000000" w:themeColor="text1"/>
        </w:rPr>
      </w:pPr>
    </w:p>
    <w:p w14:paraId="577308AA" w14:textId="77777777" w:rsidR="009F762E" w:rsidRPr="00242DFB" w:rsidRDefault="009F762E" w:rsidP="002A0E52">
      <w:pPr>
        <w:spacing w:line="360" w:lineRule="auto"/>
        <w:rPr>
          <w:rFonts w:ascii="Arial" w:hAnsi="Arial" w:cs="Arial"/>
        </w:rPr>
      </w:pPr>
    </w:p>
    <w:p w14:paraId="73205286" w14:textId="77777777" w:rsidR="009F762E" w:rsidRPr="00242DFB" w:rsidRDefault="009F762E" w:rsidP="002A0E52">
      <w:pPr>
        <w:spacing w:line="360" w:lineRule="auto"/>
        <w:rPr>
          <w:rFonts w:ascii="Arial" w:hAnsi="Arial" w:cs="Arial"/>
        </w:rPr>
      </w:pPr>
    </w:p>
    <w:p w14:paraId="3A0AC6AE" w14:textId="77777777" w:rsidR="009F762E" w:rsidRPr="00242DFB" w:rsidRDefault="009F762E" w:rsidP="002A0E52">
      <w:pPr>
        <w:spacing w:line="360" w:lineRule="auto"/>
        <w:rPr>
          <w:rFonts w:ascii="Arial" w:hAnsi="Arial" w:cs="Arial"/>
        </w:rPr>
      </w:pPr>
    </w:p>
    <w:p w14:paraId="4A74DF8C" w14:textId="77777777" w:rsidR="009F762E" w:rsidRPr="00242DFB" w:rsidRDefault="009F762E" w:rsidP="002A0E52">
      <w:pPr>
        <w:spacing w:line="360" w:lineRule="auto"/>
        <w:rPr>
          <w:rFonts w:ascii="Arial" w:hAnsi="Arial" w:cs="Arial"/>
        </w:rPr>
      </w:pPr>
    </w:p>
    <w:p w14:paraId="00B0CBA4" w14:textId="77777777" w:rsidR="009F762E" w:rsidRPr="00242DFB" w:rsidRDefault="009F762E" w:rsidP="002A0E52">
      <w:pPr>
        <w:spacing w:line="360" w:lineRule="auto"/>
        <w:rPr>
          <w:rFonts w:ascii="Arial" w:hAnsi="Arial" w:cs="Arial"/>
        </w:rPr>
      </w:pPr>
    </w:p>
    <w:p w14:paraId="1980F486" w14:textId="77777777" w:rsidR="009F762E" w:rsidRPr="00242DFB" w:rsidRDefault="009F762E" w:rsidP="002A0E52">
      <w:pPr>
        <w:spacing w:line="360" w:lineRule="auto"/>
        <w:rPr>
          <w:rFonts w:ascii="Arial" w:hAnsi="Arial" w:cs="Arial"/>
        </w:rPr>
      </w:pPr>
    </w:p>
    <w:p w14:paraId="03317706" w14:textId="77777777" w:rsidR="009F762E" w:rsidRPr="00242DFB" w:rsidRDefault="009F762E" w:rsidP="002A0E52">
      <w:pPr>
        <w:spacing w:line="360" w:lineRule="auto"/>
        <w:rPr>
          <w:rFonts w:ascii="Arial" w:hAnsi="Arial" w:cs="Arial"/>
        </w:rPr>
      </w:pPr>
    </w:p>
    <w:p w14:paraId="1BAFE4F4" w14:textId="77777777" w:rsidR="009F762E" w:rsidRPr="00242DFB" w:rsidRDefault="009F762E" w:rsidP="002A0E52">
      <w:pPr>
        <w:spacing w:line="360" w:lineRule="auto"/>
        <w:rPr>
          <w:rFonts w:ascii="Arial" w:hAnsi="Arial" w:cs="Arial"/>
        </w:rPr>
      </w:pPr>
    </w:p>
    <w:p w14:paraId="45EF3694" w14:textId="77777777" w:rsidR="009F762E" w:rsidRPr="00242DFB" w:rsidRDefault="009F762E" w:rsidP="002A0E52">
      <w:pPr>
        <w:spacing w:line="360" w:lineRule="auto"/>
        <w:rPr>
          <w:rFonts w:ascii="Arial" w:hAnsi="Arial" w:cs="Arial"/>
        </w:rPr>
      </w:pPr>
    </w:p>
    <w:p w14:paraId="050D9B02" w14:textId="77777777" w:rsidR="009F762E" w:rsidRPr="00242DFB" w:rsidRDefault="009F762E" w:rsidP="002A0E52">
      <w:pPr>
        <w:spacing w:line="360" w:lineRule="auto"/>
        <w:rPr>
          <w:rFonts w:ascii="Arial" w:hAnsi="Arial" w:cs="Arial"/>
        </w:rPr>
      </w:pPr>
    </w:p>
    <w:p w14:paraId="76003F3D" w14:textId="77777777" w:rsidR="009F762E" w:rsidRPr="00242DFB" w:rsidRDefault="009F762E" w:rsidP="002A0E52">
      <w:pPr>
        <w:spacing w:line="360" w:lineRule="auto"/>
        <w:rPr>
          <w:rFonts w:ascii="Arial" w:hAnsi="Arial" w:cs="Arial"/>
        </w:rPr>
      </w:pPr>
    </w:p>
    <w:sectPr w:rsidR="009F762E" w:rsidRPr="00242DFB">
      <w:pgSz w:w="12240" w:h="15840"/>
      <w:pgMar w:top="1418" w:right="1701" w:bottom="1418" w:left="1701"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F0499" w14:textId="77777777" w:rsidR="00116A40" w:rsidRDefault="00116A40">
      <w:r>
        <w:separator/>
      </w:r>
    </w:p>
  </w:endnote>
  <w:endnote w:type="continuationSeparator" w:id="0">
    <w:p w14:paraId="3EFB1E01" w14:textId="77777777" w:rsidR="00116A40" w:rsidRDefault="00116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92423" w14:textId="77777777" w:rsidR="00116A40" w:rsidRDefault="00116A40">
      <w:r>
        <w:separator/>
      </w:r>
    </w:p>
  </w:footnote>
  <w:footnote w:type="continuationSeparator" w:id="0">
    <w:p w14:paraId="187E8DB0" w14:textId="77777777" w:rsidR="00116A40" w:rsidRDefault="00116A40">
      <w:r>
        <w:continuationSeparator/>
      </w:r>
    </w:p>
  </w:footnote>
  <w:footnote w:id="1">
    <w:p w14:paraId="559DB9C7" w14:textId="77777777" w:rsidR="0089421B" w:rsidRPr="003541C4" w:rsidRDefault="0089421B" w:rsidP="0089421B">
      <w:pPr>
        <w:pStyle w:val="Textonotapie"/>
        <w:spacing w:line="360" w:lineRule="auto"/>
        <w:jc w:val="both"/>
        <w:rPr>
          <w:rFonts w:ascii="Arial" w:hAnsi="Arial" w:cs="Arial"/>
          <w:sz w:val="16"/>
          <w:szCs w:val="16"/>
          <w:lang w:val="es-ES"/>
        </w:rPr>
      </w:pPr>
      <w:r w:rsidRPr="003541C4">
        <w:rPr>
          <w:rStyle w:val="Refdenotaalpie"/>
          <w:rFonts w:ascii="Arial" w:hAnsi="Arial" w:cs="Arial"/>
          <w:sz w:val="16"/>
          <w:szCs w:val="16"/>
          <w:lang w:val="es-ES"/>
        </w:rPr>
        <w:footnoteRef/>
      </w:r>
      <w:r w:rsidRPr="003541C4">
        <w:rPr>
          <w:rFonts w:ascii="Arial" w:hAnsi="Arial" w:cs="Arial"/>
          <w:sz w:val="16"/>
          <w:szCs w:val="16"/>
          <w:lang w:val="es-ES"/>
        </w:rPr>
        <w:t xml:space="preserve"> BDUA –ADRES 31 </w:t>
      </w:r>
      <w:r w:rsidRPr="00B65C58">
        <w:rPr>
          <w:rFonts w:ascii="Arial" w:hAnsi="Arial" w:cs="Arial"/>
          <w:sz w:val="16"/>
          <w:szCs w:val="16"/>
          <w:lang w:val="es-ES"/>
        </w:rPr>
        <w:t>diciembre</w:t>
      </w:r>
      <w:r w:rsidRPr="003541C4">
        <w:rPr>
          <w:rFonts w:ascii="Arial" w:hAnsi="Arial" w:cs="Arial"/>
          <w:sz w:val="16"/>
          <w:szCs w:val="16"/>
          <w:lang w:val="es-ES"/>
        </w:rPr>
        <w:t xml:space="preserve"> </w:t>
      </w:r>
      <w:r w:rsidRPr="00B65C58">
        <w:rPr>
          <w:rFonts w:ascii="Arial" w:hAnsi="Arial" w:cs="Arial"/>
          <w:sz w:val="16"/>
          <w:szCs w:val="16"/>
          <w:lang w:val="es-ES"/>
        </w:rPr>
        <w:t xml:space="preserve">de </w:t>
      </w:r>
      <w:r w:rsidRPr="003541C4">
        <w:rPr>
          <w:rFonts w:ascii="Arial" w:hAnsi="Arial" w:cs="Arial"/>
          <w:sz w:val="16"/>
          <w:szCs w:val="16"/>
          <w:lang w:val="es-ES"/>
        </w:rPr>
        <w:t>2025</w:t>
      </w:r>
    </w:p>
  </w:footnote>
  <w:footnote w:id="2">
    <w:p w14:paraId="1EECF178" w14:textId="77777777" w:rsidR="0089421B" w:rsidRPr="00DB34A9" w:rsidRDefault="0089421B" w:rsidP="0089421B">
      <w:pPr>
        <w:pStyle w:val="Textonotapie"/>
        <w:spacing w:line="360" w:lineRule="auto"/>
        <w:jc w:val="both"/>
        <w:rPr>
          <w:rFonts w:ascii="Arial" w:hAnsi="Arial" w:cs="Arial"/>
          <w:sz w:val="16"/>
          <w:szCs w:val="16"/>
        </w:rPr>
      </w:pPr>
      <w:r w:rsidRPr="00DB34A9">
        <w:rPr>
          <w:rStyle w:val="Refdenotaalpie"/>
          <w:rFonts w:ascii="Arial" w:hAnsi="Arial" w:cs="Arial"/>
          <w:sz w:val="16"/>
          <w:szCs w:val="16"/>
        </w:rPr>
        <w:footnoteRef/>
      </w:r>
      <w:r w:rsidRPr="00DB34A9">
        <w:rPr>
          <w:rFonts w:ascii="Arial" w:hAnsi="Arial" w:cs="Arial"/>
          <w:sz w:val="16"/>
          <w:szCs w:val="16"/>
        </w:rPr>
        <w:t xml:space="preserve"> El total de afiliados reportado para Bogotá D. C. en 2025 (8.021.580) frente a la proyección poblacional del DANE (7.937.898) corresponde a una cobertura aproximada de 101,1%, es decir, superior al 100%. Este comportamiento puede obedecer a dinámicas del sistema de aseguramiento, como afiliaciones múltiples, fenómenos migratorios, movilidad entre territorios y diferencias en los procesos de actualización y depuración de las bases administrativas.</w:t>
      </w:r>
    </w:p>
  </w:footnote>
  <w:footnote w:id="3">
    <w:p w14:paraId="6DF373DE" w14:textId="3AAA8E70" w:rsidR="009F762E" w:rsidRDefault="00000000">
      <w:pPr>
        <w:pStyle w:val="Textonotapie"/>
        <w:spacing w:line="360" w:lineRule="auto"/>
        <w:jc w:val="both"/>
        <w:rPr>
          <w:rFonts w:ascii="Arial" w:hAnsi="Arial" w:cs="Arial"/>
          <w:sz w:val="16"/>
          <w:szCs w:val="16"/>
        </w:rPr>
      </w:pPr>
      <w:r>
        <w:rPr>
          <w:rStyle w:val="FootnoteCharacters"/>
        </w:rPr>
        <w:footnoteRef/>
      </w:r>
      <w:r>
        <w:rPr>
          <w:rFonts w:ascii="Arial" w:hAnsi="Arial" w:cs="Arial"/>
          <w:sz w:val="16"/>
          <w:szCs w:val="16"/>
        </w:rPr>
        <w:t xml:space="preserve"> El reporte de Reclamos en salud se construye a partir de dos fuentes de información: la base de reclamos radicados ante la SNS y la Base de Datos Única de Afiliados- BDUA que contiene la información de afiliados al Sistema General de Seguridad Social en Salud publicada a través del cubo SISPRO_BDUA. Para el caso de esta segunda fuente de información se tienen en cuenta los afiliados que presentan los siguientes estados: activo, protección laboral, suspendido, suspendido por documento y suspendido por mora; así como los afiliados que se encuentran en movilidad. Lo anterior, considerando los Decretos 3047-2013 y 2635-2014. Superintendencia de salud – consultado el 23 de </w:t>
      </w:r>
      <w:r w:rsidR="00F402B8">
        <w:rPr>
          <w:rFonts w:ascii="Arial" w:hAnsi="Arial" w:cs="Arial"/>
          <w:sz w:val="16"/>
          <w:szCs w:val="16"/>
        </w:rPr>
        <w:t xml:space="preserve">junio </w:t>
      </w:r>
      <w:r>
        <w:rPr>
          <w:rFonts w:ascii="Arial" w:hAnsi="Arial" w:cs="Arial"/>
          <w:sz w:val="16"/>
          <w:szCs w:val="16"/>
        </w:rPr>
        <w:t xml:space="preserve">de 2025 en: </w:t>
      </w:r>
      <w:hyperlink r:id="rId1">
        <w:r>
          <w:rPr>
            <w:rStyle w:val="Hipervnculo"/>
            <w:rFonts w:ascii="Arial" w:hAnsi="Arial" w:cs="Arial"/>
            <w:sz w:val="16"/>
            <w:szCs w:val="16"/>
          </w:rPr>
          <w:t>https://docs.supersalud.gov.co/PortalWeb/metodologias/OtrosDocumentosMetodologias/Abec%C3%A9%20reporte%20PQRD.pdf</w:t>
        </w:r>
      </w:hyperlink>
    </w:p>
  </w:footnote>
  <w:footnote w:id="4">
    <w:p w14:paraId="389C2207" w14:textId="3819F9AC" w:rsidR="008F5EC1" w:rsidRPr="008F5EC1" w:rsidRDefault="008F5EC1" w:rsidP="008F5EC1">
      <w:pPr>
        <w:pStyle w:val="Textonotapie"/>
        <w:spacing w:line="360" w:lineRule="auto"/>
        <w:jc w:val="both"/>
        <w:rPr>
          <w:rFonts w:ascii="Arial" w:hAnsi="Arial" w:cs="Arial"/>
          <w:sz w:val="16"/>
          <w:szCs w:val="16"/>
        </w:rPr>
      </w:pPr>
      <w:r w:rsidRPr="008F5EC1">
        <w:rPr>
          <w:rStyle w:val="Refdenotaalpie"/>
          <w:rFonts w:ascii="Arial" w:hAnsi="Arial" w:cs="Arial"/>
          <w:sz w:val="16"/>
          <w:szCs w:val="16"/>
        </w:rPr>
        <w:footnoteRef/>
      </w:r>
      <w:r w:rsidRPr="008F5EC1">
        <w:rPr>
          <w:rFonts w:ascii="Arial" w:hAnsi="Arial" w:cs="Arial"/>
          <w:sz w:val="16"/>
          <w:szCs w:val="16"/>
        </w:rPr>
        <w:t xml:space="preserve"> </w:t>
      </w:r>
      <w:r w:rsidRPr="008F5EC1">
        <w:rPr>
          <w:rFonts w:ascii="Arial" w:hAnsi="Arial" w:cs="Arial"/>
          <w:sz w:val="16"/>
          <w:szCs w:val="16"/>
        </w:rPr>
        <w:t>Fuente: Elaboración propia con base en información RUAF–SIVIGILA, vigencia 2025; análisis de mortalidad materna Capital Salud EPS-S; razón de mortalidad materna preliminar de Bogotá, D. C., reportada a diciembre de 2025; resultados de auditoría GAUDI e IVS de Capital Salud EPS-S, vigencia 2025; presentación “Resultados GAUDI Capital Salud EPS”, mayo de 2026; y Guía de Auditoría Institucional GAUDI, versión 05, Superintendencia Nacional de Salud, mayo de 2025.</w:t>
      </w:r>
    </w:p>
  </w:footnote>
  <w:footnote w:id="5">
    <w:p w14:paraId="088E7C03" w14:textId="40BF21E6" w:rsidR="00CF1951" w:rsidRPr="00CF1951" w:rsidRDefault="00CF1951" w:rsidP="00CF1951">
      <w:pPr>
        <w:pStyle w:val="Textonotapie"/>
        <w:spacing w:line="360" w:lineRule="auto"/>
        <w:jc w:val="both"/>
        <w:rPr>
          <w:rFonts w:ascii="Arial" w:hAnsi="Arial" w:cs="Arial"/>
        </w:rPr>
      </w:pPr>
      <w:r w:rsidRPr="00CF1951">
        <w:rPr>
          <w:rStyle w:val="Refdenotaalpie"/>
          <w:rFonts w:ascii="Arial" w:hAnsi="Arial" w:cs="Arial"/>
          <w:sz w:val="16"/>
          <w:szCs w:val="16"/>
        </w:rPr>
        <w:footnoteRef/>
      </w:r>
      <w:r w:rsidRPr="00CF1951">
        <w:rPr>
          <w:rFonts w:ascii="Arial" w:hAnsi="Arial" w:cs="Arial"/>
          <w:sz w:val="16"/>
          <w:szCs w:val="16"/>
        </w:rPr>
        <w:t xml:space="preserve"> </w:t>
      </w:r>
      <w:r w:rsidRPr="00CF1951">
        <w:rPr>
          <w:rFonts w:ascii="Arial" w:hAnsi="Arial" w:cs="Arial"/>
          <w:sz w:val="16"/>
          <w:szCs w:val="16"/>
        </w:rPr>
        <w:t>Nota aclaratoria: Los números decimales que anteceden cada causa, como 4,04, 6,13, 4,05 o 1,08, corresponden a códigos de la lista de causas agrupadas 6/67 OMS/OPS basada en CIE-10, utilizada para clasificar la causa básica de defunción en estadísticas vitales. Estos códigos no representan tasas, porcentajes ni valores numéricos del evento; son identificadores técnicos del grupo y subgrupo de causa de muerte. La interpretación epidemiológica de la tabla debe realizarse a partir de las columnas Casos y Proporción.</w:t>
      </w:r>
    </w:p>
  </w:footnote>
  <w:footnote w:id="6">
    <w:p w14:paraId="2CABEE69" w14:textId="6CB917EC" w:rsidR="00FE016F" w:rsidRPr="00FE016F" w:rsidRDefault="00FE016F" w:rsidP="00FE016F">
      <w:pPr>
        <w:pStyle w:val="Textonotapie"/>
        <w:spacing w:line="360" w:lineRule="auto"/>
        <w:jc w:val="both"/>
        <w:rPr>
          <w:rFonts w:ascii="Arial" w:hAnsi="Arial" w:cs="Arial"/>
          <w:sz w:val="16"/>
          <w:szCs w:val="16"/>
        </w:rPr>
      </w:pPr>
      <w:r w:rsidRPr="00FE016F">
        <w:rPr>
          <w:rStyle w:val="Refdenotaalpie"/>
          <w:rFonts w:ascii="Arial" w:hAnsi="Arial" w:cs="Arial"/>
          <w:sz w:val="16"/>
          <w:szCs w:val="16"/>
        </w:rPr>
        <w:footnoteRef/>
      </w:r>
      <w:r w:rsidRPr="00FE016F">
        <w:rPr>
          <w:rFonts w:ascii="Arial" w:hAnsi="Arial" w:cs="Arial"/>
          <w:sz w:val="16"/>
          <w:szCs w:val="16"/>
        </w:rPr>
        <w:t xml:space="preserve"> </w:t>
      </w:r>
      <w:r w:rsidRPr="00FE016F">
        <w:rPr>
          <w:rFonts w:ascii="Arial" w:hAnsi="Arial" w:cs="Arial"/>
          <w:sz w:val="16"/>
          <w:szCs w:val="16"/>
        </w:rPr>
        <w:t xml:space="preserve"> El Grupo GAMA (Grupo de Apoyo y Monitoreo a la Atención) es un equipo de la Secretaría Distrital de Salud de Bogotá que apoya el monitoreo de la atención y la gestión operativa para mejorar el acceso efectivo y la continuidad asistencial, incluyendo acciones de apoyo a prestadores y seguimiento de casos en el marco de estrategias distritales. En escenarios de presión hospitalaria, se le reconoce además un rol en la optimización del uso de camas mediante la articulación de traslados/flujo asistencial (p. ej., de UCI a niveles de menor complejidad y a modalidades como atención domiciliaria), contribuyendo a descongestionar la red. Consultado en https://www.saludcapital.gov.co/Paginas2/Noticia_Portal_Detalle.aspx?IP=2507; https://www.saludcapital.gov.co/DCRUE/paginas/informacion_crue.aspx; https://anmdecolombia.org.co/el-secretario-distrital-de-salud-responde-en-la-academia-a-temas-coyunturales-sobre-salud-en-la-capital/; </w:t>
      </w:r>
      <w:hyperlink r:id="rId2" w:history="1">
        <w:r w:rsidRPr="009E51C5">
          <w:rPr>
            <w:rStyle w:val="Hipervnculo"/>
            <w:rFonts w:ascii="Arial" w:hAnsi="Arial" w:cs="Arial"/>
            <w:sz w:val="16"/>
            <w:szCs w:val="16"/>
          </w:rPr>
          <w:t>https://www.saludcapital.gov.co/Salud_info/Proy_salud_materno.pdf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10E77"/>
    <w:multiLevelType w:val="multilevel"/>
    <w:tmpl w:val="605E8B40"/>
    <w:lvl w:ilvl="0">
      <w:start w:val="1"/>
      <w:numFmt w:val="bullet"/>
      <w:lvlText w:val="Ø"/>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FF010AC"/>
    <w:multiLevelType w:val="hybridMultilevel"/>
    <w:tmpl w:val="8460E34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E4274E5"/>
    <w:multiLevelType w:val="multilevel"/>
    <w:tmpl w:val="9872BA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87B1FFF"/>
    <w:multiLevelType w:val="multilevel"/>
    <w:tmpl w:val="627829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576020F"/>
    <w:multiLevelType w:val="multilevel"/>
    <w:tmpl w:val="621640F6"/>
    <w:lvl w:ilvl="0">
      <w:start w:val="1"/>
      <w:numFmt w:val="bullet"/>
      <w:lvlText w:val="Ø"/>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28B784B"/>
    <w:multiLevelType w:val="multilevel"/>
    <w:tmpl w:val="4BE4F9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603C2877"/>
    <w:multiLevelType w:val="multilevel"/>
    <w:tmpl w:val="3A96ED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64C471B7"/>
    <w:multiLevelType w:val="multilevel"/>
    <w:tmpl w:val="A75E523C"/>
    <w:lvl w:ilvl="0">
      <w:start w:val="5"/>
      <w:numFmt w:val="decimal"/>
      <w:lvlText w:val="%1"/>
      <w:lvlJc w:val="left"/>
      <w:pPr>
        <w:ind w:left="540" w:hanging="540"/>
      </w:pPr>
      <w:rPr>
        <w:rFonts w:hint="default"/>
        <w:color w:val="000000" w:themeColor="text1"/>
      </w:rPr>
    </w:lvl>
    <w:lvl w:ilvl="1">
      <w:start w:val="3"/>
      <w:numFmt w:val="decimal"/>
      <w:lvlText w:val="%1.%2"/>
      <w:lvlJc w:val="left"/>
      <w:pPr>
        <w:ind w:left="540" w:hanging="54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8" w15:restartNumberingAfterBreak="0">
    <w:nsid w:val="684D2AFC"/>
    <w:multiLevelType w:val="multilevel"/>
    <w:tmpl w:val="78A83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5D5DD7"/>
    <w:multiLevelType w:val="multilevel"/>
    <w:tmpl w:val="AE2A23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78AD49D8"/>
    <w:multiLevelType w:val="multilevel"/>
    <w:tmpl w:val="5BC2A3E2"/>
    <w:lvl w:ilvl="0">
      <w:start w:val="5"/>
      <w:numFmt w:val="decimal"/>
      <w:lvlText w:val="%1"/>
      <w:lvlJc w:val="left"/>
      <w:pPr>
        <w:ind w:left="540" w:hanging="540"/>
      </w:pPr>
      <w:rPr>
        <w:rFonts w:hint="default"/>
        <w:color w:val="000000" w:themeColor="text1"/>
      </w:rPr>
    </w:lvl>
    <w:lvl w:ilvl="1">
      <w:start w:val="3"/>
      <w:numFmt w:val="decimal"/>
      <w:lvlText w:val="%1.%2"/>
      <w:lvlJc w:val="left"/>
      <w:pPr>
        <w:ind w:left="900" w:hanging="54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11" w15:restartNumberingAfterBreak="0">
    <w:nsid w:val="7A8B695C"/>
    <w:multiLevelType w:val="multilevel"/>
    <w:tmpl w:val="1DEAE69A"/>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294" w:hanging="360"/>
      </w:pPr>
    </w:lvl>
    <w:lvl w:ilvl="2">
      <w:start w:val="1"/>
      <w:numFmt w:val="decimal"/>
      <w:isLgl/>
      <w:lvlText w:val="%1.%2.%3"/>
      <w:lvlJc w:val="left"/>
      <w:pPr>
        <w:tabs>
          <w:tab w:val="num" w:pos="0"/>
        </w:tabs>
        <w:ind w:left="1014" w:hanging="720"/>
      </w:pPr>
    </w:lvl>
    <w:lvl w:ilvl="3">
      <w:start w:val="1"/>
      <w:numFmt w:val="decimal"/>
      <w:isLgl/>
      <w:lvlText w:val="%1.%2.%3.%4"/>
      <w:lvlJc w:val="left"/>
      <w:pPr>
        <w:tabs>
          <w:tab w:val="num" w:pos="0"/>
        </w:tabs>
        <w:ind w:left="1374" w:hanging="720"/>
      </w:pPr>
    </w:lvl>
    <w:lvl w:ilvl="4">
      <w:start w:val="1"/>
      <w:numFmt w:val="decimal"/>
      <w:isLgl/>
      <w:lvlText w:val="%1.%2.%3.%4.%5"/>
      <w:lvlJc w:val="left"/>
      <w:pPr>
        <w:tabs>
          <w:tab w:val="num" w:pos="0"/>
        </w:tabs>
        <w:ind w:left="2094" w:hanging="1080"/>
      </w:pPr>
    </w:lvl>
    <w:lvl w:ilvl="5">
      <w:start w:val="1"/>
      <w:numFmt w:val="decimal"/>
      <w:isLgl/>
      <w:lvlText w:val="%1.%2.%3.%4.%5.%6"/>
      <w:lvlJc w:val="left"/>
      <w:pPr>
        <w:tabs>
          <w:tab w:val="num" w:pos="0"/>
        </w:tabs>
        <w:ind w:left="2454" w:hanging="1080"/>
      </w:pPr>
    </w:lvl>
    <w:lvl w:ilvl="6">
      <w:start w:val="1"/>
      <w:numFmt w:val="decimal"/>
      <w:isLgl/>
      <w:lvlText w:val="%1.%2.%3.%4.%5.%6.%7"/>
      <w:lvlJc w:val="left"/>
      <w:pPr>
        <w:tabs>
          <w:tab w:val="num" w:pos="0"/>
        </w:tabs>
        <w:ind w:left="3174" w:hanging="1440"/>
      </w:pPr>
    </w:lvl>
    <w:lvl w:ilvl="7">
      <w:start w:val="1"/>
      <w:numFmt w:val="decimal"/>
      <w:isLgl/>
      <w:lvlText w:val="%1.%2.%3.%4.%5.%6.%7.%8"/>
      <w:lvlJc w:val="left"/>
      <w:pPr>
        <w:tabs>
          <w:tab w:val="num" w:pos="0"/>
        </w:tabs>
        <w:ind w:left="3534" w:hanging="1440"/>
      </w:pPr>
    </w:lvl>
    <w:lvl w:ilvl="8">
      <w:start w:val="1"/>
      <w:numFmt w:val="decimal"/>
      <w:isLgl/>
      <w:lvlText w:val="%1.%2.%3.%4.%5.%6.%7.%8.%9"/>
      <w:lvlJc w:val="left"/>
      <w:pPr>
        <w:tabs>
          <w:tab w:val="num" w:pos="0"/>
        </w:tabs>
        <w:ind w:left="4254" w:hanging="1800"/>
      </w:pPr>
    </w:lvl>
  </w:abstractNum>
  <w:num w:numId="1" w16cid:durableId="337582081">
    <w:abstractNumId w:val="9"/>
  </w:num>
  <w:num w:numId="2" w16cid:durableId="536091736">
    <w:abstractNumId w:val="2"/>
  </w:num>
  <w:num w:numId="3" w16cid:durableId="245580096">
    <w:abstractNumId w:val="6"/>
  </w:num>
  <w:num w:numId="4" w16cid:durableId="1819497734">
    <w:abstractNumId w:val="3"/>
  </w:num>
  <w:num w:numId="5" w16cid:durableId="642857472">
    <w:abstractNumId w:val="0"/>
  </w:num>
  <w:num w:numId="6" w16cid:durableId="1382560140">
    <w:abstractNumId w:val="4"/>
  </w:num>
  <w:num w:numId="7" w16cid:durableId="253711727">
    <w:abstractNumId w:val="11"/>
  </w:num>
  <w:num w:numId="8" w16cid:durableId="2021202180">
    <w:abstractNumId w:val="5"/>
  </w:num>
  <w:num w:numId="9" w16cid:durableId="339085610">
    <w:abstractNumId w:val="8"/>
  </w:num>
  <w:num w:numId="10" w16cid:durableId="231549314">
    <w:abstractNumId w:val="1"/>
  </w:num>
  <w:num w:numId="11" w16cid:durableId="1067844984">
    <w:abstractNumId w:val="10"/>
  </w:num>
  <w:num w:numId="12" w16cid:durableId="6422698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62E"/>
    <w:rsid w:val="00085DF0"/>
    <w:rsid w:val="0009068B"/>
    <w:rsid w:val="000928F8"/>
    <w:rsid w:val="000B2422"/>
    <w:rsid w:val="000B3A12"/>
    <w:rsid w:val="000C55C7"/>
    <w:rsid w:val="000C5BAE"/>
    <w:rsid w:val="000F41E0"/>
    <w:rsid w:val="00111247"/>
    <w:rsid w:val="00116A40"/>
    <w:rsid w:val="00131048"/>
    <w:rsid w:val="00136D19"/>
    <w:rsid w:val="0014328E"/>
    <w:rsid w:val="00151240"/>
    <w:rsid w:val="001544BD"/>
    <w:rsid w:val="00171EA9"/>
    <w:rsid w:val="00173427"/>
    <w:rsid w:val="001E3CEF"/>
    <w:rsid w:val="00225D0B"/>
    <w:rsid w:val="0023214B"/>
    <w:rsid w:val="00242DFB"/>
    <w:rsid w:val="00250C25"/>
    <w:rsid w:val="00256C22"/>
    <w:rsid w:val="00275D9F"/>
    <w:rsid w:val="002860AB"/>
    <w:rsid w:val="002A0E52"/>
    <w:rsid w:val="002A1E1C"/>
    <w:rsid w:val="002B36F9"/>
    <w:rsid w:val="002D7FF0"/>
    <w:rsid w:val="002F5138"/>
    <w:rsid w:val="00305A2F"/>
    <w:rsid w:val="00375B60"/>
    <w:rsid w:val="00395F61"/>
    <w:rsid w:val="003E79C2"/>
    <w:rsid w:val="004028F2"/>
    <w:rsid w:val="00422CE8"/>
    <w:rsid w:val="00435CD2"/>
    <w:rsid w:val="004675CD"/>
    <w:rsid w:val="00487B6D"/>
    <w:rsid w:val="00497F1A"/>
    <w:rsid w:val="004A3D85"/>
    <w:rsid w:val="004C0C7B"/>
    <w:rsid w:val="004F456A"/>
    <w:rsid w:val="0050558F"/>
    <w:rsid w:val="0051018D"/>
    <w:rsid w:val="00536CF7"/>
    <w:rsid w:val="0054533D"/>
    <w:rsid w:val="005839EB"/>
    <w:rsid w:val="00594335"/>
    <w:rsid w:val="005B3561"/>
    <w:rsid w:val="00620B3C"/>
    <w:rsid w:val="00683F80"/>
    <w:rsid w:val="00691563"/>
    <w:rsid w:val="006B05FA"/>
    <w:rsid w:val="006B64A1"/>
    <w:rsid w:val="006D1139"/>
    <w:rsid w:val="0073474D"/>
    <w:rsid w:val="00762BCE"/>
    <w:rsid w:val="00772EDC"/>
    <w:rsid w:val="007C623F"/>
    <w:rsid w:val="007E59AC"/>
    <w:rsid w:val="0081376D"/>
    <w:rsid w:val="00841523"/>
    <w:rsid w:val="00843D08"/>
    <w:rsid w:val="00890F98"/>
    <w:rsid w:val="0089421B"/>
    <w:rsid w:val="00894C96"/>
    <w:rsid w:val="008A7A9F"/>
    <w:rsid w:val="008D64A0"/>
    <w:rsid w:val="008F5EC1"/>
    <w:rsid w:val="008F6E67"/>
    <w:rsid w:val="00906975"/>
    <w:rsid w:val="0092547C"/>
    <w:rsid w:val="0092688D"/>
    <w:rsid w:val="00927866"/>
    <w:rsid w:val="00927DBD"/>
    <w:rsid w:val="00947E1B"/>
    <w:rsid w:val="00962017"/>
    <w:rsid w:val="009A5FBE"/>
    <w:rsid w:val="009C18FE"/>
    <w:rsid w:val="009F762E"/>
    <w:rsid w:val="00A113E5"/>
    <w:rsid w:val="00A16D18"/>
    <w:rsid w:val="00A177E6"/>
    <w:rsid w:val="00A8307C"/>
    <w:rsid w:val="00AC3703"/>
    <w:rsid w:val="00AD7403"/>
    <w:rsid w:val="00B1210D"/>
    <w:rsid w:val="00B62695"/>
    <w:rsid w:val="00B63DC5"/>
    <w:rsid w:val="00BC2693"/>
    <w:rsid w:val="00BD3A75"/>
    <w:rsid w:val="00C0747A"/>
    <w:rsid w:val="00C14D90"/>
    <w:rsid w:val="00C3331A"/>
    <w:rsid w:val="00C75A81"/>
    <w:rsid w:val="00C77552"/>
    <w:rsid w:val="00CE7D67"/>
    <w:rsid w:val="00CF1951"/>
    <w:rsid w:val="00D37DE7"/>
    <w:rsid w:val="00D55ABD"/>
    <w:rsid w:val="00D60344"/>
    <w:rsid w:val="00D83CAF"/>
    <w:rsid w:val="00D91970"/>
    <w:rsid w:val="00DA69F3"/>
    <w:rsid w:val="00DC2FBC"/>
    <w:rsid w:val="00E117C1"/>
    <w:rsid w:val="00E15AAD"/>
    <w:rsid w:val="00E319E1"/>
    <w:rsid w:val="00E74E3E"/>
    <w:rsid w:val="00E83BF7"/>
    <w:rsid w:val="00E84FA7"/>
    <w:rsid w:val="00E8539F"/>
    <w:rsid w:val="00F04631"/>
    <w:rsid w:val="00F2026F"/>
    <w:rsid w:val="00F23740"/>
    <w:rsid w:val="00F27FAD"/>
    <w:rsid w:val="00F402B8"/>
    <w:rsid w:val="00F62D73"/>
    <w:rsid w:val="00F80AD4"/>
    <w:rsid w:val="00F90D94"/>
    <w:rsid w:val="00F942AE"/>
    <w:rsid w:val="00F97D77"/>
    <w:rsid w:val="00FE016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65F72"/>
  <w15:docId w15:val="{8C6492E9-957F-474B-A8C2-33F18CE11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1F4"/>
    <w:rPr>
      <w:rFonts w:ascii="Times New Roman" w:eastAsia="Times New Roman" w:hAnsi="Times New Roman" w:cs="Times New Roman"/>
      <w:sz w:val="24"/>
      <w:szCs w:val="24"/>
      <w:lang w:eastAsia="es-MX"/>
    </w:rPr>
  </w:style>
  <w:style w:type="paragraph" w:styleId="Ttulo1">
    <w:name w:val="heading 1"/>
    <w:basedOn w:val="Normal"/>
    <w:next w:val="Normal"/>
    <w:link w:val="Ttulo1Car"/>
    <w:uiPriority w:val="9"/>
    <w:qFormat/>
    <w:rsid w:val="00C30FD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30FD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20651"/>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uiPriority w:val="9"/>
    <w:semiHidden/>
    <w:unhideWhenUsed/>
    <w:qFormat/>
    <w:rsid w:val="00B2065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s1">
    <w:name w:val="s1"/>
    <w:qFormat/>
    <w:rsid w:val="0363BEB3"/>
  </w:style>
  <w:style w:type="character" w:customStyle="1" w:styleId="s2">
    <w:name w:val="s2"/>
    <w:qFormat/>
    <w:rsid w:val="0363BEB3"/>
  </w:style>
  <w:style w:type="character" w:customStyle="1" w:styleId="PrrafodelistaCar">
    <w:name w:val="Párrafo de lista Car"/>
    <w:link w:val="Prrafodelista"/>
    <w:uiPriority w:val="34"/>
    <w:qFormat/>
    <w:rsid w:val="000C4AE0"/>
    <w:rPr>
      <w:kern w:val="2"/>
      <w:sz w:val="24"/>
      <w:szCs w:val="24"/>
      <w:lang w:val="es-ES_tradnl"/>
      <w14:ligatures w14:val="standardContextual"/>
    </w:rPr>
  </w:style>
  <w:style w:type="character" w:customStyle="1" w:styleId="TextoindependienteCar">
    <w:name w:val="Texto independiente Car"/>
    <w:link w:val="Textoindependiente"/>
    <w:uiPriority w:val="1"/>
    <w:qFormat/>
    <w:rsid w:val="0363BEB3"/>
    <w:rPr>
      <w:rFonts w:ascii="Arial MT" w:eastAsia="Arial MT" w:hAnsi="Arial MT" w:cs="Arial MT"/>
      <w:lang w:val="es-ES"/>
    </w:rPr>
  </w:style>
  <w:style w:type="character" w:customStyle="1" w:styleId="15">
    <w:name w:val="15"/>
    <w:uiPriority w:val="1"/>
    <w:qFormat/>
    <w:rsid w:val="0363BEB3"/>
    <w:rPr>
      <w:rFonts w:ascii="Calibri" w:hAnsi="Calibri" w:cs="Calibri"/>
      <w:color w:val="0563C1"/>
      <w:u w:val="single"/>
    </w:rPr>
  </w:style>
  <w:style w:type="character" w:styleId="Hipervnculo">
    <w:name w:val="Hyperlink"/>
    <w:uiPriority w:val="99"/>
    <w:unhideWhenUsed/>
    <w:rsid w:val="0363BEB3"/>
    <w:rPr>
      <w:color w:val="0563C1"/>
      <w:u w:val="single"/>
    </w:rPr>
  </w:style>
  <w:style w:type="character" w:styleId="Refdecomentario">
    <w:name w:val="annotation reference"/>
    <w:uiPriority w:val="99"/>
    <w:semiHidden/>
    <w:unhideWhenUsed/>
    <w:qFormat/>
    <w:rsid w:val="0363BEB3"/>
    <w:rPr>
      <w:sz w:val="16"/>
      <w:szCs w:val="16"/>
    </w:rPr>
  </w:style>
  <w:style w:type="character" w:customStyle="1" w:styleId="TextocomentarioCar">
    <w:name w:val="Texto comentario Car"/>
    <w:link w:val="Textocomentario"/>
    <w:uiPriority w:val="99"/>
    <w:qFormat/>
    <w:rsid w:val="0363BEB3"/>
    <w:rPr>
      <w:sz w:val="20"/>
      <w:szCs w:val="20"/>
    </w:rPr>
  </w:style>
  <w:style w:type="character" w:customStyle="1" w:styleId="TextodegloboCar">
    <w:name w:val="Texto de globo Car"/>
    <w:link w:val="Textodeglobo"/>
    <w:uiPriority w:val="99"/>
    <w:semiHidden/>
    <w:qFormat/>
    <w:rsid w:val="0363BEB3"/>
    <w:rPr>
      <w:rFonts w:ascii="Segoe UI" w:hAnsi="Segoe UI" w:cs="Segoe UI"/>
      <w:sz w:val="18"/>
      <w:szCs w:val="18"/>
      <w:lang w:val="es-ES"/>
    </w:rPr>
  </w:style>
  <w:style w:type="character" w:customStyle="1" w:styleId="apple-converted-space">
    <w:name w:val="apple-converted-space"/>
    <w:uiPriority w:val="1"/>
    <w:qFormat/>
    <w:rsid w:val="0363BEB3"/>
  </w:style>
  <w:style w:type="character" w:styleId="Textoennegrita">
    <w:name w:val="Strong"/>
    <w:uiPriority w:val="22"/>
    <w:qFormat/>
    <w:rsid w:val="0363BEB3"/>
    <w:rPr>
      <w:b/>
      <w:bCs/>
    </w:rPr>
  </w:style>
  <w:style w:type="character" w:customStyle="1" w:styleId="Ttulo1Car">
    <w:name w:val="Título 1 Car"/>
    <w:link w:val="Ttulo1"/>
    <w:uiPriority w:val="9"/>
    <w:qFormat/>
    <w:rsid w:val="0363BEB3"/>
    <w:rPr>
      <w:rFonts w:asciiTheme="majorHAnsi" w:eastAsiaTheme="majorEastAsia" w:hAnsiTheme="majorHAnsi" w:cstheme="majorBidi"/>
      <w:color w:val="2E74B5" w:themeColor="accent1" w:themeShade="BF"/>
      <w:sz w:val="32"/>
      <w:szCs w:val="32"/>
      <w:lang w:val="es-ES"/>
    </w:rPr>
  </w:style>
  <w:style w:type="character" w:customStyle="1" w:styleId="Ttulo2Car">
    <w:name w:val="Título 2 Car"/>
    <w:link w:val="Ttulo2"/>
    <w:uiPriority w:val="9"/>
    <w:qFormat/>
    <w:rsid w:val="0363BEB3"/>
    <w:rPr>
      <w:rFonts w:asciiTheme="majorHAnsi" w:eastAsiaTheme="majorEastAsia" w:hAnsiTheme="majorHAnsi" w:cstheme="majorBidi"/>
      <w:color w:val="2E74B5" w:themeColor="accent1" w:themeShade="BF"/>
      <w:sz w:val="26"/>
      <w:szCs w:val="26"/>
      <w:lang w:val="es-ES"/>
    </w:rPr>
  </w:style>
  <w:style w:type="character" w:customStyle="1" w:styleId="AsuntodelcomentarioCar">
    <w:name w:val="Asunto del comentario Car"/>
    <w:basedOn w:val="TextocomentarioCar"/>
    <w:link w:val="Asuntodelcomentario"/>
    <w:uiPriority w:val="99"/>
    <w:semiHidden/>
    <w:qFormat/>
    <w:rsid w:val="00790250"/>
    <w:rPr>
      <w:b/>
      <w:bCs/>
      <w:kern w:val="2"/>
      <w:sz w:val="20"/>
      <w:szCs w:val="20"/>
      <w:lang w:val="es-ES_tradnl"/>
      <w14:ligatures w14:val="standardContextual"/>
    </w:rPr>
  </w:style>
  <w:style w:type="character" w:customStyle="1" w:styleId="EndnoteCharacters">
    <w:name w:val="Endnote Characters"/>
    <w:uiPriority w:val="99"/>
    <w:semiHidden/>
    <w:unhideWhenUsed/>
    <w:qFormat/>
    <w:rsid w:val="0363BEB3"/>
    <w:rPr>
      <w:vertAlign w:val="superscript"/>
    </w:rPr>
  </w:style>
  <w:style w:type="character" w:styleId="Refdenotaalfinal">
    <w:name w:val="endnote reference"/>
    <w:rPr>
      <w:vertAlign w:val="superscript"/>
    </w:rPr>
  </w:style>
  <w:style w:type="character" w:customStyle="1" w:styleId="FootnoteCharacters">
    <w:name w:val="Footnote Characters"/>
    <w:uiPriority w:val="99"/>
    <w:semiHidden/>
    <w:unhideWhenUsed/>
    <w:qFormat/>
    <w:rsid w:val="0363BEB3"/>
    <w:rPr>
      <w:vertAlign w:val="superscript"/>
    </w:rPr>
  </w:style>
  <w:style w:type="character" w:styleId="Refdenotaalpie">
    <w:name w:val="footnote reference"/>
    <w:uiPriority w:val="99"/>
    <w:rPr>
      <w:vertAlign w:val="superscript"/>
    </w:rPr>
  </w:style>
  <w:style w:type="character" w:styleId="Hipervnculovisitado">
    <w:name w:val="FollowedHyperlink"/>
    <w:basedOn w:val="Fuentedeprrafopredeter"/>
    <w:uiPriority w:val="99"/>
    <w:semiHidden/>
    <w:unhideWhenUsed/>
    <w:rsid w:val="00693CFD"/>
    <w:rPr>
      <w:color w:val="954F72" w:themeColor="followedHyperlink"/>
      <w:u w:val="single"/>
    </w:rPr>
  </w:style>
  <w:style w:type="character" w:customStyle="1" w:styleId="EncabezadoCar">
    <w:name w:val="Encabezado Car"/>
    <w:basedOn w:val="Fuentedeprrafopredeter"/>
    <w:link w:val="Encabezado"/>
    <w:uiPriority w:val="99"/>
    <w:qFormat/>
    <w:rsid w:val="00C07EF1"/>
    <w:rPr>
      <w:kern w:val="2"/>
      <w:sz w:val="24"/>
      <w:szCs w:val="24"/>
      <w:lang w:val="es-ES_tradnl"/>
      <w14:ligatures w14:val="standardContextual"/>
    </w:rPr>
  </w:style>
  <w:style w:type="character" w:customStyle="1" w:styleId="PiedepginaCar">
    <w:name w:val="Pie de página Car"/>
    <w:basedOn w:val="Fuentedeprrafopredeter"/>
    <w:link w:val="Piedepgina"/>
    <w:uiPriority w:val="99"/>
    <w:qFormat/>
    <w:rsid w:val="00C07EF1"/>
    <w:rPr>
      <w:kern w:val="2"/>
      <w:sz w:val="24"/>
      <w:szCs w:val="24"/>
      <w:lang w:val="es-ES_tradnl"/>
      <w14:ligatures w14:val="standardContextual"/>
    </w:rPr>
  </w:style>
  <w:style w:type="character" w:customStyle="1" w:styleId="SubttuloCar">
    <w:name w:val="Subtítulo Car"/>
    <w:basedOn w:val="Fuentedeprrafopredeter"/>
    <w:link w:val="Subttulo"/>
    <w:uiPriority w:val="11"/>
    <w:qFormat/>
    <w:rsid w:val="00104193"/>
    <w:rPr>
      <w:rFonts w:eastAsiaTheme="minorEastAsia"/>
      <w:color w:val="5A5A5A" w:themeColor="text1" w:themeTint="A5"/>
      <w:spacing w:val="15"/>
      <w:kern w:val="2"/>
      <w:lang w:val="es-ES_tradnl"/>
      <w14:ligatures w14:val="standardContextual"/>
    </w:rPr>
  </w:style>
  <w:style w:type="character" w:customStyle="1" w:styleId="normaltextrun">
    <w:name w:val="normaltextrun"/>
    <w:basedOn w:val="Fuentedeprrafopredeter"/>
    <w:qFormat/>
    <w:rsid w:val="00872658"/>
  </w:style>
  <w:style w:type="character" w:customStyle="1" w:styleId="eop">
    <w:name w:val="eop"/>
    <w:basedOn w:val="Fuentedeprrafopredeter"/>
    <w:qFormat/>
    <w:rsid w:val="00872658"/>
  </w:style>
  <w:style w:type="character" w:customStyle="1" w:styleId="Mencinsinresolver1">
    <w:name w:val="Mención sin resolver1"/>
    <w:basedOn w:val="Fuentedeprrafopredeter"/>
    <w:uiPriority w:val="99"/>
    <w:semiHidden/>
    <w:unhideWhenUsed/>
    <w:qFormat/>
    <w:rsid w:val="00DC2209"/>
    <w:rPr>
      <w:color w:val="605E5C"/>
      <w:shd w:val="clear" w:color="auto" w:fill="E1DFDD"/>
    </w:rPr>
  </w:style>
  <w:style w:type="character" w:customStyle="1" w:styleId="Ttulo4Car">
    <w:name w:val="Título 4 Car"/>
    <w:basedOn w:val="Fuentedeprrafopredeter"/>
    <w:link w:val="Ttulo4"/>
    <w:uiPriority w:val="9"/>
    <w:semiHidden/>
    <w:qFormat/>
    <w:rsid w:val="00B20651"/>
    <w:rPr>
      <w:rFonts w:asciiTheme="majorHAnsi" w:eastAsiaTheme="majorEastAsia" w:hAnsiTheme="majorHAnsi" w:cstheme="majorBidi"/>
      <w:i/>
      <w:iCs/>
      <w:color w:val="2E74B5" w:themeColor="accent1" w:themeShade="BF"/>
      <w:kern w:val="2"/>
      <w:sz w:val="24"/>
      <w:szCs w:val="24"/>
      <w:lang w:val="es-ES_tradnl"/>
      <w14:ligatures w14:val="standardContextual"/>
    </w:rPr>
  </w:style>
  <w:style w:type="character" w:customStyle="1" w:styleId="Ttulo3Car">
    <w:name w:val="Título 3 Car"/>
    <w:basedOn w:val="Fuentedeprrafopredeter"/>
    <w:link w:val="Ttulo3"/>
    <w:uiPriority w:val="9"/>
    <w:qFormat/>
    <w:rsid w:val="00B20651"/>
    <w:rPr>
      <w:rFonts w:asciiTheme="majorHAnsi" w:eastAsiaTheme="majorEastAsia" w:hAnsiTheme="majorHAnsi" w:cstheme="majorBidi"/>
      <w:color w:val="1F4D78" w:themeColor="accent1" w:themeShade="7F"/>
      <w:kern w:val="2"/>
      <w:sz w:val="24"/>
      <w:szCs w:val="24"/>
      <w:lang w:val="es-ES_tradnl"/>
      <w14:ligatures w14:val="standardContextual"/>
    </w:rPr>
  </w:style>
  <w:style w:type="character" w:customStyle="1" w:styleId="Mencinsinresolver2">
    <w:name w:val="Mención sin resolver2"/>
    <w:basedOn w:val="Fuentedeprrafopredeter"/>
    <w:uiPriority w:val="99"/>
    <w:semiHidden/>
    <w:unhideWhenUsed/>
    <w:qFormat/>
    <w:rsid w:val="00CF2306"/>
    <w:rPr>
      <w:color w:val="605E5C"/>
      <w:shd w:val="clear" w:color="auto" w:fill="E1DFDD"/>
    </w:rPr>
  </w:style>
  <w:style w:type="character" w:customStyle="1" w:styleId="Mencinsinresolver3">
    <w:name w:val="Mención sin resolver3"/>
    <w:basedOn w:val="Fuentedeprrafopredeter"/>
    <w:uiPriority w:val="99"/>
    <w:semiHidden/>
    <w:unhideWhenUsed/>
    <w:qFormat/>
    <w:rsid w:val="00704377"/>
    <w:rPr>
      <w:color w:val="605E5C"/>
      <w:shd w:val="clear" w:color="auto" w:fill="E1DFDD"/>
    </w:rPr>
  </w:style>
  <w:style w:type="character" w:customStyle="1" w:styleId="s3">
    <w:name w:val="s3"/>
    <w:basedOn w:val="Fuentedeprrafopredeter"/>
    <w:qFormat/>
    <w:rsid w:val="007C65C4"/>
  </w:style>
  <w:style w:type="character" w:customStyle="1" w:styleId="scxw66536647">
    <w:name w:val="scxw66536647"/>
    <w:basedOn w:val="Fuentedeprrafopredeter"/>
    <w:qFormat/>
    <w:rsid w:val="00913C12"/>
  </w:style>
  <w:style w:type="character" w:customStyle="1" w:styleId="TextonotapieCar">
    <w:name w:val="Texto nota pie Car"/>
    <w:basedOn w:val="Fuentedeprrafopredeter"/>
    <w:link w:val="Textonotapie"/>
    <w:uiPriority w:val="99"/>
    <w:qFormat/>
    <w:rsid w:val="00F81D98"/>
    <w:rPr>
      <w:rFonts w:ascii="Times New Roman" w:eastAsia="Times New Roman" w:hAnsi="Times New Roman" w:cs="Times New Roman"/>
      <w:sz w:val="20"/>
      <w:szCs w:val="20"/>
      <w:lang w:eastAsia="es-MX"/>
    </w:rPr>
  </w:style>
  <w:style w:type="character" w:customStyle="1" w:styleId="IndexLink">
    <w:name w:val="Index Link"/>
    <w:qFormat/>
  </w:style>
  <w:style w:type="paragraph" w:customStyle="1" w:styleId="Heading">
    <w:name w:val="Heading"/>
    <w:basedOn w:val="Normal"/>
    <w:next w:val="Textoindependiente"/>
    <w:qFormat/>
    <w:pPr>
      <w:keepNext/>
      <w:spacing w:before="240" w:after="120"/>
    </w:pPr>
    <w:rPr>
      <w:rFonts w:ascii="Liberation Sans" w:eastAsia="Noto Sans CJK SC" w:hAnsi="Liberation Sans" w:cs="Lohit Devanagari"/>
      <w:sz w:val="28"/>
      <w:szCs w:val="28"/>
    </w:rPr>
  </w:style>
  <w:style w:type="paragraph" w:styleId="Textoindependiente">
    <w:name w:val="Body Text"/>
    <w:basedOn w:val="Normal"/>
    <w:link w:val="TextoindependienteCar"/>
    <w:uiPriority w:val="1"/>
    <w:qFormat/>
    <w:rsid w:val="000C4AE0"/>
    <w:pPr>
      <w:widowControl w:val="0"/>
    </w:pPr>
    <w:rPr>
      <w:rFonts w:ascii="Arial MT" w:eastAsia="Arial MT" w:hAnsi="Arial MT" w:cs="Arial MT"/>
      <w:sz w:val="22"/>
      <w:szCs w:val="22"/>
      <w:lang w:val="es-ES"/>
    </w:rPr>
  </w:style>
  <w:style w:type="paragraph" w:styleId="Lista">
    <w:name w:val="List"/>
    <w:basedOn w:val="Textoindependiente"/>
    <w:rPr>
      <w:rFonts w:cs="Lohit Devanagari"/>
    </w:rPr>
  </w:style>
  <w:style w:type="paragraph" w:styleId="Descripcin">
    <w:name w:val="caption"/>
    <w:basedOn w:val="Normal"/>
    <w:next w:val="Normal"/>
    <w:uiPriority w:val="35"/>
    <w:unhideWhenUsed/>
    <w:qFormat/>
    <w:rsid w:val="000F6EB0"/>
    <w:pPr>
      <w:spacing w:after="200"/>
    </w:pPr>
    <w:rPr>
      <w:i/>
      <w:iCs/>
      <w:color w:val="44546A" w:themeColor="text2"/>
      <w:sz w:val="18"/>
      <w:szCs w:val="18"/>
    </w:rPr>
  </w:style>
  <w:style w:type="paragraph" w:customStyle="1" w:styleId="Index">
    <w:name w:val="Index"/>
    <w:basedOn w:val="Normal"/>
    <w:qFormat/>
    <w:pPr>
      <w:suppressLineNumbers/>
    </w:pPr>
    <w:rPr>
      <w:rFonts w:cs="Lohit Devanagari"/>
    </w:rPr>
  </w:style>
  <w:style w:type="paragraph" w:styleId="Prrafodelista">
    <w:name w:val="List Paragraph"/>
    <w:basedOn w:val="Normal"/>
    <w:link w:val="PrrafodelistaCar"/>
    <w:uiPriority w:val="34"/>
    <w:qFormat/>
    <w:rsid w:val="000C4AE0"/>
    <w:pPr>
      <w:ind w:left="720"/>
      <w:contextualSpacing/>
    </w:pPr>
  </w:style>
  <w:style w:type="paragraph" w:customStyle="1" w:styleId="p1">
    <w:name w:val="p1"/>
    <w:basedOn w:val="Normal"/>
    <w:qFormat/>
    <w:rsid w:val="000C4AE0"/>
    <w:pPr>
      <w:spacing w:beforeAutospacing="1" w:afterAutospacing="1"/>
    </w:pPr>
  </w:style>
  <w:style w:type="paragraph" w:styleId="NormalWeb">
    <w:name w:val="Normal (Web)"/>
    <w:basedOn w:val="Normal"/>
    <w:uiPriority w:val="99"/>
    <w:qFormat/>
    <w:rsid w:val="000C4AE0"/>
    <w:pPr>
      <w:spacing w:before="280" w:after="280"/>
      <w:textAlignment w:val="baseline"/>
    </w:pPr>
    <w:rPr>
      <w:kern w:val="2"/>
      <w:lang w:eastAsia="zh-CN"/>
    </w:rPr>
  </w:style>
  <w:style w:type="paragraph" w:customStyle="1" w:styleId="Default">
    <w:name w:val="Default"/>
    <w:qFormat/>
    <w:rsid w:val="000C4AE0"/>
    <w:rPr>
      <w:rFonts w:ascii="Times New Roman" w:eastAsia="Calibri" w:hAnsi="Times New Roman" w:cs="Times New Roman"/>
      <w:color w:val="000000"/>
      <w:sz w:val="24"/>
      <w:szCs w:val="24"/>
    </w:rPr>
  </w:style>
  <w:style w:type="paragraph" w:styleId="Textocomentario">
    <w:name w:val="annotation text"/>
    <w:basedOn w:val="Normal"/>
    <w:link w:val="TextocomentarioCar"/>
    <w:uiPriority w:val="99"/>
    <w:unhideWhenUsed/>
    <w:rsid w:val="00214929"/>
    <w:pPr>
      <w:spacing w:after="160"/>
    </w:pPr>
    <w:rPr>
      <w:sz w:val="20"/>
      <w:szCs w:val="20"/>
    </w:rPr>
  </w:style>
  <w:style w:type="paragraph" w:styleId="Sinespaciado">
    <w:name w:val="No Spacing"/>
    <w:uiPriority w:val="1"/>
    <w:qFormat/>
    <w:rsid w:val="00214929"/>
    <w:rPr>
      <w:rFonts w:ascii="Calibri" w:eastAsia="Calibri" w:hAnsi="Calibri" w:cs="Arial"/>
      <w:kern w:val="2"/>
      <w14:ligatures w14:val="standardContextual"/>
    </w:rPr>
  </w:style>
  <w:style w:type="paragraph" w:styleId="Textodeglobo">
    <w:name w:val="Balloon Text"/>
    <w:basedOn w:val="Normal"/>
    <w:link w:val="TextodegloboCar"/>
    <w:uiPriority w:val="99"/>
    <w:semiHidden/>
    <w:unhideWhenUsed/>
    <w:qFormat/>
    <w:rsid w:val="00214929"/>
    <w:rPr>
      <w:rFonts w:ascii="Segoe UI" w:hAnsi="Segoe UI" w:cs="Segoe UI"/>
      <w:sz w:val="18"/>
      <w:szCs w:val="18"/>
    </w:rPr>
  </w:style>
  <w:style w:type="paragraph" w:styleId="Ttulodendice">
    <w:name w:val="index heading"/>
    <w:basedOn w:val="Heading"/>
  </w:style>
  <w:style w:type="paragraph" w:styleId="TtuloTDC">
    <w:name w:val="TOC Heading"/>
    <w:basedOn w:val="Ttulo1"/>
    <w:next w:val="Normal"/>
    <w:uiPriority w:val="39"/>
    <w:unhideWhenUsed/>
    <w:qFormat/>
    <w:rsid w:val="00C30FD4"/>
    <w:pPr>
      <w:spacing w:line="259" w:lineRule="auto"/>
      <w:outlineLvl w:val="9"/>
    </w:pPr>
    <w:rPr>
      <w:lang w:eastAsia="es-CO"/>
    </w:rPr>
  </w:style>
  <w:style w:type="paragraph" w:styleId="TDC1">
    <w:name w:val="toc 1"/>
    <w:basedOn w:val="Normal"/>
    <w:next w:val="Normal"/>
    <w:autoRedefine/>
    <w:uiPriority w:val="39"/>
    <w:unhideWhenUsed/>
    <w:rsid w:val="00C30FD4"/>
    <w:pPr>
      <w:spacing w:after="100"/>
    </w:pPr>
  </w:style>
  <w:style w:type="paragraph" w:styleId="TDC2">
    <w:name w:val="toc 2"/>
    <w:basedOn w:val="Normal"/>
    <w:next w:val="Normal"/>
    <w:autoRedefine/>
    <w:uiPriority w:val="39"/>
    <w:unhideWhenUsed/>
    <w:rsid w:val="00913C12"/>
    <w:pPr>
      <w:tabs>
        <w:tab w:val="left" w:pos="1200"/>
        <w:tab w:val="right" w:leader="dot" w:pos="8828"/>
      </w:tabs>
      <w:spacing w:after="100" w:line="360" w:lineRule="auto"/>
      <w:ind w:left="240"/>
    </w:pPr>
  </w:style>
  <w:style w:type="paragraph" w:styleId="Asuntodelcomentario">
    <w:name w:val="annotation subject"/>
    <w:basedOn w:val="Textocomentario"/>
    <w:next w:val="Textocomentario"/>
    <w:link w:val="AsuntodelcomentarioCar"/>
    <w:uiPriority w:val="99"/>
    <w:semiHidden/>
    <w:unhideWhenUsed/>
    <w:qFormat/>
    <w:rsid w:val="00790250"/>
    <w:pPr>
      <w:spacing w:after="0"/>
    </w:pPr>
    <w:rPr>
      <w:b/>
      <w:bCs/>
      <w:lang w:val="es-ES_tradnl"/>
    </w:rPr>
  </w:style>
  <w:style w:type="paragraph" w:styleId="Textonotaalfinal">
    <w:name w:val="endnote text"/>
    <w:basedOn w:val="Normal"/>
    <w:uiPriority w:val="99"/>
    <w:semiHidden/>
    <w:unhideWhenUsed/>
    <w:rsid w:val="0363BEB3"/>
    <w:rPr>
      <w:sz w:val="20"/>
      <w:szCs w:val="20"/>
    </w:rPr>
  </w:style>
  <w:style w:type="paragraph" w:styleId="Textonotapie">
    <w:name w:val="footnote text"/>
    <w:basedOn w:val="Normal"/>
    <w:link w:val="TextonotapieCar"/>
    <w:uiPriority w:val="99"/>
    <w:unhideWhenUsed/>
    <w:rsid w:val="0363BEB3"/>
    <w:rPr>
      <w:sz w:val="20"/>
      <w:szCs w:val="20"/>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C07EF1"/>
    <w:pPr>
      <w:tabs>
        <w:tab w:val="center" w:pos="4419"/>
        <w:tab w:val="right" w:pos="8838"/>
      </w:tabs>
    </w:pPr>
  </w:style>
  <w:style w:type="paragraph" w:styleId="Piedepgina">
    <w:name w:val="footer"/>
    <w:basedOn w:val="Normal"/>
    <w:link w:val="PiedepginaCar"/>
    <w:uiPriority w:val="99"/>
    <w:unhideWhenUsed/>
    <w:rsid w:val="00C07EF1"/>
    <w:pPr>
      <w:tabs>
        <w:tab w:val="center" w:pos="4419"/>
        <w:tab w:val="right" w:pos="8838"/>
      </w:tabs>
    </w:pPr>
  </w:style>
  <w:style w:type="paragraph" w:styleId="Subttulo">
    <w:name w:val="Subtitle"/>
    <w:basedOn w:val="Normal"/>
    <w:next w:val="Normal"/>
    <w:link w:val="SubttuloCar"/>
    <w:uiPriority w:val="11"/>
    <w:qFormat/>
    <w:rsid w:val="00104193"/>
    <w:pPr>
      <w:spacing w:after="160"/>
    </w:pPr>
    <w:rPr>
      <w:rFonts w:eastAsiaTheme="minorEastAsia"/>
      <w:color w:val="5A5A5A" w:themeColor="text1" w:themeTint="A5"/>
      <w:spacing w:val="15"/>
      <w:sz w:val="22"/>
      <w:szCs w:val="22"/>
    </w:rPr>
  </w:style>
  <w:style w:type="paragraph" w:styleId="Revisin">
    <w:name w:val="Revision"/>
    <w:uiPriority w:val="99"/>
    <w:semiHidden/>
    <w:qFormat/>
    <w:rsid w:val="00CD3FAA"/>
    <w:rPr>
      <w:rFonts w:ascii="Calibri" w:eastAsia="Calibri" w:hAnsi="Calibri" w:cs="Arial"/>
      <w:kern w:val="2"/>
      <w:sz w:val="24"/>
      <w:szCs w:val="24"/>
      <w:lang w:val="es-ES_tradnl"/>
      <w14:ligatures w14:val="standardContextual"/>
    </w:rPr>
  </w:style>
  <w:style w:type="paragraph" w:styleId="Tabladeilustraciones">
    <w:name w:val="table of figures"/>
    <w:basedOn w:val="Normal"/>
    <w:next w:val="Normal"/>
    <w:uiPriority w:val="99"/>
    <w:unhideWhenUsed/>
    <w:rsid w:val="008036C2"/>
  </w:style>
  <w:style w:type="paragraph" w:customStyle="1" w:styleId="p2">
    <w:name w:val="p2"/>
    <w:basedOn w:val="Normal"/>
    <w:qFormat/>
    <w:rsid w:val="007C65C4"/>
    <w:pPr>
      <w:spacing w:beforeAutospacing="1" w:afterAutospacing="1"/>
    </w:pPr>
  </w:style>
  <w:style w:type="paragraph" w:customStyle="1" w:styleId="paragraph">
    <w:name w:val="paragraph"/>
    <w:basedOn w:val="Normal"/>
    <w:qFormat/>
    <w:rsid w:val="00913C12"/>
    <w:pPr>
      <w:spacing w:beforeAutospacing="1" w:afterAutospacing="1"/>
    </w:pPr>
  </w:style>
  <w:style w:type="paragraph" w:styleId="TDC3">
    <w:name w:val="toc 3"/>
    <w:basedOn w:val="Normal"/>
    <w:next w:val="Normal"/>
    <w:autoRedefine/>
    <w:uiPriority w:val="39"/>
    <w:unhideWhenUsed/>
    <w:rsid w:val="00EA3126"/>
    <w:pPr>
      <w:spacing w:after="100"/>
      <w:ind w:left="480"/>
    </w:pPr>
  </w:style>
  <w:style w:type="table" w:styleId="Tablaconcuadrculaclara">
    <w:name w:val="Grid Table Light"/>
    <w:basedOn w:val="Tablanormal"/>
    <w:uiPriority w:val="40"/>
    <w:rsid w:val="007013EA"/>
    <w:rPr>
      <w:sz w:val="24"/>
      <w:szCs w:val="24"/>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styleId="Tablaconcuadrcula">
    <w:name w:val="Table Grid"/>
    <w:basedOn w:val="Tablanormal"/>
    <w:uiPriority w:val="39"/>
    <w:rsid w:val="004D23E1"/>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41"/>
    <w:rsid w:val="00C30FD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delista4-nfasis1">
    <w:name w:val="List Table 4 Accent 1"/>
    <w:basedOn w:val="Tablanormal"/>
    <w:uiPriority w:val="4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aconcuadrcula4-nfasis5">
    <w:name w:val="Grid Table 4 Accent 5"/>
    <w:basedOn w:val="Tablanormal"/>
    <w:uiPriority w:val="49"/>
    <w:rsid w:val="00F81D98"/>
    <w:rPr>
      <w:sz w:val="24"/>
      <w:szCs w:val="24"/>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cinsinresolver">
    <w:name w:val="Unresolved Mention"/>
    <w:basedOn w:val="Fuentedeprrafopredeter"/>
    <w:uiPriority w:val="99"/>
    <w:semiHidden/>
    <w:unhideWhenUsed/>
    <w:rsid w:val="00FE01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6197">
      <w:bodyDiv w:val="1"/>
      <w:marLeft w:val="0"/>
      <w:marRight w:val="0"/>
      <w:marTop w:val="0"/>
      <w:marBottom w:val="0"/>
      <w:divBdr>
        <w:top w:val="none" w:sz="0" w:space="0" w:color="auto"/>
        <w:left w:val="none" w:sz="0" w:space="0" w:color="auto"/>
        <w:bottom w:val="none" w:sz="0" w:space="0" w:color="auto"/>
        <w:right w:val="none" w:sz="0" w:space="0" w:color="auto"/>
      </w:divBdr>
    </w:div>
    <w:div w:id="57673461">
      <w:bodyDiv w:val="1"/>
      <w:marLeft w:val="0"/>
      <w:marRight w:val="0"/>
      <w:marTop w:val="0"/>
      <w:marBottom w:val="0"/>
      <w:divBdr>
        <w:top w:val="none" w:sz="0" w:space="0" w:color="auto"/>
        <w:left w:val="none" w:sz="0" w:space="0" w:color="auto"/>
        <w:bottom w:val="none" w:sz="0" w:space="0" w:color="auto"/>
        <w:right w:val="none" w:sz="0" w:space="0" w:color="auto"/>
      </w:divBdr>
    </w:div>
    <w:div w:id="66146824">
      <w:bodyDiv w:val="1"/>
      <w:marLeft w:val="0"/>
      <w:marRight w:val="0"/>
      <w:marTop w:val="0"/>
      <w:marBottom w:val="0"/>
      <w:divBdr>
        <w:top w:val="none" w:sz="0" w:space="0" w:color="auto"/>
        <w:left w:val="none" w:sz="0" w:space="0" w:color="auto"/>
        <w:bottom w:val="none" w:sz="0" w:space="0" w:color="auto"/>
        <w:right w:val="none" w:sz="0" w:space="0" w:color="auto"/>
      </w:divBdr>
    </w:div>
    <w:div w:id="204292378">
      <w:bodyDiv w:val="1"/>
      <w:marLeft w:val="0"/>
      <w:marRight w:val="0"/>
      <w:marTop w:val="0"/>
      <w:marBottom w:val="0"/>
      <w:divBdr>
        <w:top w:val="none" w:sz="0" w:space="0" w:color="auto"/>
        <w:left w:val="none" w:sz="0" w:space="0" w:color="auto"/>
        <w:bottom w:val="none" w:sz="0" w:space="0" w:color="auto"/>
        <w:right w:val="none" w:sz="0" w:space="0" w:color="auto"/>
      </w:divBdr>
    </w:div>
    <w:div w:id="345524546">
      <w:bodyDiv w:val="1"/>
      <w:marLeft w:val="0"/>
      <w:marRight w:val="0"/>
      <w:marTop w:val="0"/>
      <w:marBottom w:val="0"/>
      <w:divBdr>
        <w:top w:val="none" w:sz="0" w:space="0" w:color="auto"/>
        <w:left w:val="none" w:sz="0" w:space="0" w:color="auto"/>
        <w:bottom w:val="none" w:sz="0" w:space="0" w:color="auto"/>
        <w:right w:val="none" w:sz="0" w:space="0" w:color="auto"/>
      </w:divBdr>
    </w:div>
    <w:div w:id="399525986">
      <w:bodyDiv w:val="1"/>
      <w:marLeft w:val="0"/>
      <w:marRight w:val="0"/>
      <w:marTop w:val="0"/>
      <w:marBottom w:val="0"/>
      <w:divBdr>
        <w:top w:val="none" w:sz="0" w:space="0" w:color="auto"/>
        <w:left w:val="none" w:sz="0" w:space="0" w:color="auto"/>
        <w:bottom w:val="none" w:sz="0" w:space="0" w:color="auto"/>
        <w:right w:val="none" w:sz="0" w:space="0" w:color="auto"/>
      </w:divBdr>
    </w:div>
    <w:div w:id="423503730">
      <w:bodyDiv w:val="1"/>
      <w:marLeft w:val="0"/>
      <w:marRight w:val="0"/>
      <w:marTop w:val="0"/>
      <w:marBottom w:val="0"/>
      <w:divBdr>
        <w:top w:val="none" w:sz="0" w:space="0" w:color="auto"/>
        <w:left w:val="none" w:sz="0" w:space="0" w:color="auto"/>
        <w:bottom w:val="none" w:sz="0" w:space="0" w:color="auto"/>
        <w:right w:val="none" w:sz="0" w:space="0" w:color="auto"/>
      </w:divBdr>
    </w:div>
    <w:div w:id="433330313">
      <w:bodyDiv w:val="1"/>
      <w:marLeft w:val="0"/>
      <w:marRight w:val="0"/>
      <w:marTop w:val="0"/>
      <w:marBottom w:val="0"/>
      <w:divBdr>
        <w:top w:val="none" w:sz="0" w:space="0" w:color="auto"/>
        <w:left w:val="none" w:sz="0" w:space="0" w:color="auto"/>
        <w:bottom w:val="none" w:sz="0" w:space="0" w:color="auto"/>
        <w:right w:val="none" w:sz="0" w:space="0" w:color="auto"/>
      </w:divBdr>
    </w:div>
    <w:div w:id="442574340">
      <w:bodyDiv w:val="1"/>
      <w:marLeft w:val="0"/>
      <w:marRight w:val="0"/>
      <w:marTop w:val="0"/>
      <w:marBottom w:val="0"/>
      <w:divBdr>
        <w:top w:val="none" w:sz="0" w:space="0" w:color="auto"/>
        <w:left w:val="none" w:sz="0" w:space="0" w:color="auto"/>
        <w:bottom w:val="none" w:sz="0" w:space="0" w:color="auto"/>
        <w:right w:val="none" w:sz="0" w:space="0" w:color="auto"/>
      </w:divBdr>
    </w:div>
    <w:div w:id="467403898">
      <w:bodyDiv w:val="1"/>
      <w:marLeft w:val="0"/>
      <w:marRight w:val="0"/>
      <w:marTop w:val="0"/>
      <w:marBottom w:val="0"/>
      <w:divBdr>
        <w:top w:val="none" w:sz="0" w:space="0" w:color="auto"/>
        <w:left w:val="none" w:sz="0" w:space="0" w:color="auto"/>
        <w:bottom w:val="none" w:sz="0" w:space="0" w:color="auto"/>
        <w:right w:val="none" w:sz="0" w:space="0" w:color="auto"/>
      </w:divBdr>
    </w:div>
    <w:div w:id="474614311">
      <w:bodyDiv w:val="1"/>
      <w:marLeft w:val="0"/>
      <w:marRight w:val="0"/>
      <w:marTop w:val="0"/>
      <w:marBottom w:val="0"/>
      <w:divBdr>
        <w:top w:val="none" w:sz="0" w:space="0" w:color="auto"/>
        <w:left w:val="none" w:sz="0" w:space="0" w:color="auto"/>
        <w:bottom w:val="none" w:sz="0" w:space="0" w:color="auto"/>
        <w:right w:val="none" w:sz="0" w:space="0" w:color="auto"/>
      </w:divBdr>
    </w:div>
    <w:div w:id="539049306">
      <w:bodyDiv w:val="1"/>
      <w:marLeft w:val="0"/>
      <w:marRight w:val="0"/>
      <w:marTop w:val="0"/>
      <w:marBottom w:val="0"/>
      <w:divBdr>
        <w:top w:val="none" w:sz="0" w:space="0" w:color="auto"/>
        <w:left w:val="none" w:sz="0" w:space="0" w:color="auto"/>
        <w:bottom w:val="none" w:sz="0" w:space="0" w:color="auto"/>
        <w:right w:val="none" w:sz="0" w:space="0" w:color="auto"/>
      </w:divBdr>
    </w:div>
    <w:div w:id="573784272">
      <w:bodyDiv w:val="1"/>
      <w:marLeft w:val="0"/>
      <w:marRight w:val="0"/>
      <w:marTop w:val="0"/>
      <w:marBottom w:val="0"/>
      <w:divBdr>
        <w:top w:val="none" w:sz="0" w:space="0" w:color="auto"/>
        <w:left w:val="none" w:sz="0" w:space="0" w:color="auto"/>
        <w:bottom w:val="none" w:sz="0" w:space="0" w:color="auto"/>
        <w:right w:val="none" w:sz="0" w:space="0" w:color="auto"/>
      </w:divBdr>
    </w:div>
    <w:div w:id="574710193">
      <w:bodyDiv w:val="1"/>
      <w:marLeft w:val="0"/>
      <w:marRight w:val="0"/>
      <w:marTop w:val="0"/>
      <w:marBottom w:val="0"/>
      <w:divBdr>
        <w:top w:val="none" w:sz="0" w:space="0" w:color="auto"/>
        <w:left w:val="none" w:sz="0" w:space="0" w:color="auto"/>
        <w:bottom w:val="none" w:sz="0" w:space="0" w:color="auto"/>
        <w:right w:val="none" w:sz="0" w:space="0" w:color="auto"/>
      </w:divBdr>
    </w:div>
    <w:div w:id="620068650">
      <w:bodyDiv w:val="1"/>
      <w:marLeft w:val="0"/>
      <w:marRight w:val="0"/>
      <w:marTop w:val="0"/>
      <w:marBottom w:val="0"/>
      <w:divBdr>
        <w:top w:val="none" w:sz="0" w:space="0" w:color="auto"/>
        <w:left w:val="none" w:sz="0" w:space="0" w:color="auto"/>
        <w:bottom w:val="none" w:sz="0" w:space="0" w:color="auto"/>
        <w:right w:val="none" w:sz="0" w:space="0" w:color="auto"/>
      </w:divBdr>
    </w:div>
    <w:div w:id="742026184">
      <w:bodyDiv w:val="1"/>
      <w:marLeft w:val="0"/>
      <w:marRight w:val="0"/>
      <w:marTop w:val="0"/>
      <w:marBottom w:val="0"/>
      <w:divBdr>
        <w:top w:val="none" w:sz="0" w:space="0" w:color="auto"/>
        <w:left w:val="none" w:sz="0" w:space="0" w:color="auto"/>
        <w:bottom w:val="none" w:sz="0" w:space="0" w:color="auto"/>
        <w:right w:val="none" w:sz="0" w:space="0" w:color="auto"/>
      </w:divBdr>
    </w:div>
    <w:div w:id="747116679">
      <w:bodyDiv w:val="1"/>
      <w:marLeft w:val="0"/>
      <w:marRight w:val="0"/>
      <w:marTop w:val="0"/>
      <w:marBottom w:val="0"/>
      <w:divBdr>
        <w:top w:val="none" w:sz="0" w:space="0" w:color="auto"/>
        <w:left w:val="none" w:sz="0" w:space="0" w:color="auto"/>
        <w:bottom w:val="none" w:sz="0" w:space="0" w:color="auto"/>
        <w:right w:val="none" w:sz="0" w:space="0" w:color="auto"/>
      </w:divBdr>
    </w:div>
    <w:div w:id="772550369">
      <w:bodyDiv w:val="1"/>
      <w:marLeft w:val="0"/>
      <w:marRight w:val="0"/>
      <w:marTop w:val="0"/>
      <w:marBottom w:val="0"/>
      <w:divBdr>
        <w:top w:val="none" w:sz="0" w:space="0" w:color="auto"/>
        <w:left w:val="none" w:sz="0" w:space="0" w:color="auto"/>
        <w:bottom w:val="none" w:sz="0" w:space="0" w:color="auto"/>
        <w:right w:val="none" w:sz="0" w:space="0" w:color="auto"/>
      </w:divBdr>
    </w:div>
    <w:div w:id="774789039">
      <w:bodyDiv w:val="1"/>
      <w:marLeft w:val="0"/>
      <w:marRight w:val="0"/>
      <w:marTop w:val="0"/>
      <w:marBottom w:val="0"/>
      <w:divBdr>
        <w:top w:val="none" w:sz="0" w:space="0" w:color="auto"/>
        <w:left w:val="none" w:sz="0" w:space="0" w:color="auto"/>
        <w:bottom w:val="none" w:sz="0" w:space="0" w:color="auto"/>
        <w:right w:val="none" w:sz="0" w:space="0" w:color="auto"/>
      </w:divBdr>
    </w:div>
    <w:div w:id="783311677">
      <w:bodyDiv w:val="1"/>
      <w:marLeft w:val="0"/>
      <w:marRight w:val="0"/>
      <w:marTop w:val="0"/>
      <w:marBottom w:val="0"/>
      <w:divBdr>
        <w:top w:val="none" w:sz="0" w:space="0" w:color="auto"/>
        <w:left w:val="none" w:sz="0" w:space="0" w:color="auto"/>
        <w:bottom w:val="none" w:sz="0" w:space="0" w:color="auto"/>
        <w:right w:val="none" w:sz="0" w:space="0" w:color="auto"/>
      </w:divBdr>
    </w:div>
    <w:div w:id="797185546">
      <w:bodyDiv w:val="1"/>
      <w:marLeft w:val="0"/>
      <w:marRight w:val="0"/>
      <w:marTop w:val="0"/>
      <w:marBottom w:val="0"/>
      <w:divBdr>
        <w:top w:val="none" w:sz="0" w:space="0" w:color="auto"/>
        <w:left w:val="none" w:sz="0" w:space="0" w:color="auto"/>
        <w:bottom w:val="none" w:sz="0" w:space="0" w:color="auto"/>
        <w:right w:val="none" w:sz="0" w:space="0" w:color="auto"/>
      </w:divBdr>
    </w:div>
    <w:div w:id="870531221">
      <w:bodyDiv w:val="1"/>
      <w:marLeft w:val="0"/>
      <w:marRight w:val="0"/>
      <w:marTop w:val="0"/>
      <w:marBottom w:val="0"/>
      <w:divBdr>
        <w:top w:val="none" w:sz="0" w:space="0" w:color="auto"/>
        <w:left w:val="none" w:sz="0" w:space="0" w:color="auto"/>
        <w:bottom w:val="none" w:sz="0" w:space="0" w:color="auto"/>
        <w:right w:val="none" w:sz="0" w:space="0" w:color="auto"/>
      </w:divBdr>
    </w:div>
    <w:div w:id="884415963">
      <w:bodyDiv w:val="1"/>
      <w:marLeft w:val="0"/>
      <w:marRight w:val="0"/>
      <w:marTop w:val="0"/>
      <w:marBottom w:val="0"/>
      <w:divBdr>
        <w:top w:val="none" w:sz="0" w:space="0" w:color="auto"/>
        <w:left w:val="none" w:sz="0" w:space="0" w:color="auto"/>
        <w:bottom w:val="none" w:sz="0" w:space="0" w:color="auto"/>
        <w:right w:val="none" w:sz="0" w:space="0" w:color="auto"/>
      </w:divBdr>
    </w:div>
    <w:div w:id="911962802">
      <w:bodyDiv w:val="1"/>
      <w:marLeft w:val="0"/>
      <w:marRight w:val="0"/>
      <w:marTop w:val="0"/>
      <w:marBottom w:val="0"/>
      <w:divBdr>
        <w:top w:val="none" w:sz="0" w:space="0" w:color="auto"/>
        <w:left w:val="none" w:sz="0" w:space="0" w:color="auto"/>
        <w:bottom w:val="none" w:sz="0" w:space="0" w:color="auto"/>
        <w:right w:val="none" w:sz="0" w:space="0" w:color="auto"/>
      </w:divBdr>
    </w:div>
    <w:div w:id="1005745495">
      <w:bodyDiv w:val="1"/>
      <w:marLeft w:val="0"/>
      <w:marRight w:val="0"/>
      <w:marTop w:val="0"/>
      <w:marBottom w:val="0"/>
      <w:divBdr>
        <w:top w:val="none" w:sz="0" w:space="0" w:color="auto"/>
        <w:left w:val="none" w:sz="0" w:space="0" w:color="auto"/>
        <w:bottom w:val="none" w:sz="0" w:space="0" w:color="auto"/>
        <w:right w:val="none" w:sz="0" w:space="0" w:color="auto"/>
      </w:divBdr>
    </w:div>
    <w:div w:id="1094785866">
      <w:bodyDiv w:val="1"/>
      <w:marLeft w:val="0"/>
      <w:marRight w:val="0"/>
      <w:marTop w:val="0"/>
      <w:marBottom w:val="0"/>
      <w:divBdr>
        <w:top w:val="none" w:sz="0" w:space="0" w:color="auto"/>
        <w:left w:val="none" w:sz="0" w:space="0" w:color="auto"/>
        <w:bottom w:val="none" w:sz="0" w:space="0" w:color="auto"/>
        <w:right w:val="none" w:sz="0" w:space="0" w:color="auto"/>
      </w:divBdr>
    </w:div>
    <w:div w:id="1096555923">
      <w:bodyDiv w:val="1"/>
      <w:marLeft w:val="0"/>
      <w:marRight w:val="0"/>
      <w:marTop w:val="0"/>
      <w:marBottom w:val="0"/>
      <w:divBdr>
        <w:top w:val="none" w:sz="0" w:space="0" w:color="auto"/>
        <w:left w:val="none" w:sz="0" w:space="0" w:color="auto"/>
        <w:bottom w:val="none" w:sz="0" w:space="0" w:color="auto"/>
        <w:right w:val="none" w:sz="0" w:space="0" w:color="auto"/>
      </w:divBdr>
    </w:div>
    <w:div w:id="1139111911">
      <w:bodyDiv w:val="1"/>
      <w:marLeft w:val="0"/>
      <w:marRight w:val="0"/>
      <w:marTop w:val="0"/>
      <w:marBottom w:val="0"/>
      <w:divBdr>
        <w:top w:val="none" w:sz="0" w:space="0" w:color="auto"/>
        <w:left w:val="none" w:sz="0" w:space="0" w:color="auto"/>
        <w:bottom w:val="none" w:sz="0" w:space="0" w:color="auto"/>
        <w:right w:val="none" w:sz="0" w:space="0" w:color="auto"/>
      </w:divBdr>
    </w:div>
    <w:div w:id="1200700971">
      <w:bodyDiv w:val="1"/>
      <w:marLeft w:val="0"/>
      <w:marRight w:val="0"/>
      <w:marTop w:val="0"/>
      <w:marBottom w:val="0"/>
      <w:divBdr>
        <w:top w:val="none" w:sz="0" w:space="0" w:color="auto"/>
        <w:left w:val="none" w:sz="0" w:space="0" w:color="auto"/>
        <w:bottom w:val="none" w:sz="0" w:space="0" w:color="auto"/>
        <w:right w:val="none" w:sz="0" w:space="0" w:color="auto"/>
      </w:divBdr>
    </w:div>
    <w:div w:id="1209802000">
      <w:bodyDiv w:val="1"/>
      <w:marLeft w:val="0"/>
      <w:marRight w:val="0"/>
      <w:marTop w:val="0"/>
      <w:marBottom w:val="0"/>
      <w:divBdr>
        <w:top w:val="none" w:sz="0" w:space="0" w:color="auto"/>
        <w:left w:val="none" w:sz="0" w:space="0" w:color="auto"/>
        <w:bottom w:val="none" w:sz="0" w:space="0" w:color="auto"/>
        <w:right w:val="none" w:sz="0" w:space="0" w:color="auto"/>
      </w:divBdr>
    </w:div>
    <w:div w:id="1262756444">
      <w:bodyDiv w:val="1"/>
      <w:marLeft w:val="0"/>
      <w:marRight w:val="0"/>
      <w:marTop w:val="0"/>
      <w:marBottom w:val="0"/>
      <w:divBdr>
        <w:top w:val="none" w:sz="0" w:space="0" w:color="auto"/>
        <w:left w:val="none" w:sz="0" w:space="0" w:color="auto"/>
        <w:bottom w:val="none" w:sz="0" w:space="0" w:color="auto"/>
        <w:right w:val="none" w:sz="0" w:space="0" w:color="auto"/>
      </w:divBdr>
    </w:div>
    <w:div w:id="1274945060">
      <w:bodyDiv w:val="1"/>
      <w:marLeft w:val="0"/>
      <w:marRight w:val="0"/>
      <w:marTop w:val="0"/>
      <w:marBottom w:val="0"/>
      <w:divBdr>
        <w:top w:val="none" w:sz="0" w:space="0" w:color="auto"/>
        <w:left w:val="none" w:sz="0" w:space="0" w:color="auto"/>
        <w:bottom w:val="none" w:sz="0" w:space="0" w:color="auto"/>
        <w:right w:val="none" w:sz="0" w:space="0" w:color="auto"/>
      </w:divBdr>
    </w:div>
    <w:div w:id="1285117726">
      <w:bodyDiv w:val="1"/>
      <w:marLeft w:val="0"/>
      <w:marRight w:val="0"/>
      <w:marTop w:val="0"/>
      <w:marBottom w:val="0"/>
      <w:divBdr>
        <w:top w:val="none" w:sz="0" w:space="0" w:color="auto"/>
        <w:left w:val="none" w:sz="0" w:space="0" w:color="auto"/>
        <w:bottom w:val="none" w:sz="0" w:space="0" w:color="auto"/>
        <w:right w:val="none" w:sz="0" w:space="0" w:color="auto"/>
      </w:divBdr>
    </w:div>
    <w:div w:id="1318999267">
      <w:bodyDiv w:val="1"/>
      <w:marLeft w:val="0"/>
      <w:marRight w:val="0"/>
      <w:marTop w:val="0"/>
      <w:marBottom w:val="0"/>
      <w:divBdr>
        <w:top w:val="none" w:sz="0" w:space="0" w:color="auto"/>
        <w:left w:val="none" w:sz="0" w:space="0" w:color="auto"/>
        <w:bottom w:val="none" w:sz="0" w:space="0" w:color="auto"/>
        <w:right w:val="none" w:sz="0" w:space="0" w:color="auto"/>
      </w:divBdr>
    </w:div>
    <w:div w:id="1472868219">
      <w:bodyDiv w:val="1"/>
      <w:marLeft w:val="0"/>
      <w:marRight w:val="0"/>
      <w:marTop w:val="0"/>
      <w:marBottom w:val="0"/>
      <w:divBdr>
        <w:top w:val="none" w:sz="0" w:space="0" w:color="auto"/>
        <w:left w:val="none" w:sz="0" w:space="0" w:color="auto"/>
        <w:bottom w:val="none" w:sz="0" w:space="0" w:color="auto"/>
        <w:right w:val="none" w:sz="0" w:space="0" w:color="auto"/>
      </w:divBdr>
    </w:div>
    <w:div w:id="1513371462">
      <w:bodyDiv w:val="1"/>
      <w:marLeft w:val="0"/>
      <w:marRight w:val="0"/>
      <w:marTop w:val="0"/>
      <w:marBottom w:val="0"/>
      <w:divBdr>
        <w:top w:val="none" w:sz="0" w:space="0" w:color="auto"/>
        <w:left w:val="none" w:sz="0" w:space="0" w:color="auto"/>
        <w:bottom w:val="none" w:sz="0" w:space="0" w:color="auto"/>
        <w:right w:val="none" w:sz="0" w:space="0" w:color="auto"/>
      </w:divBdr>
    </w:div>
    <w:div w:id="1613439167">
      <w:bodyDiv w:val="1"/>
      <w:marLeft w:val="0"/>
      <w:marRight w:val="0"/>
      <w:marTop w:val="0"/>
      <w:marBottom w:val="0"/>
      <w:divBdr>
        <w:top w:val="none" w:sz="0" w:space="0" w:color="auto"/>
        <w:left w:val="none" w:sz="0" w:space="0" w:color="auto"/>
        <w:bottom w:val="none" w:sz="0" w:space="0" w:color="auto"/>
        <w:right w:val="none" w:sz="0" w:space="0" w:color="auto"/>
      </w:divBdr>
    </w:div>
    <w:div w:id="1646275639">
      <w:bodyDiv w:val="1"/>
      <w:marLeft w:val="0"/>
      <w:marRight w:val="0"/>
      <w:marTop w:val="0"/>
      <w:marBottom w:val="0"/>
      <w:divBdr>
        <w:top w:val="none" w:sz="0" w:space="0" w:color="auto"/>
        <w:left w:val="none" w:sz="0" w:space="0" w:color="auto"/>
        <w:bottom w:val="none" w:sz="0" w:space="0" w:color="auto"/>
        <w:right w:val="none" w:sz="0" w:space="0" w:color="auto"/>
      </w:divBdr>
    </w:div>
    <w:div w:id="1681468635">
      <w:bodyDiv w:val="1"/>
      <w:marLeft w:val="0"/>
      <w:marRight w:val="0"/>
      <w:marTop w:val="0"/>
      <w:marBottom w:val="0"/>
      <w:divBdr>
        <w:top w:val="none" w:sz="0" w:space="0" w:color="auto"/>
        <w:left w:val="none" w:sz="0" w:space="0" w:color="auto"/>
        <w:bottom w:val="none" w:sz="0" w:space="0" w:color="auto"/>
        <w:right w:val="none" w:sz="0" w:space="0" w:color="auto"/>
      </w:divBdr>
    </w:div>
    <w:div w:id="1705862515">
      <w:bodyDiv w:val="1"/>
      <w:marLeft w:val="0"/>
      <w:marRight w:val="0"/>
      <w:marTop w:val="0"/>
      <w:marBottom w:val="0"/>
      <w:divBdr>
        <w:top w:val="none" w:sz="0" w:space="0" w:color="auto"/>
        <w:left w:val="none" w:sz="0" w:space="0" w:color="auto"/>
        <w:bottom w:val="none" w:sz="0" w:space="0" w:color="auto"/>
        <w:right w:val="none" w:sz="0" w:space="0" w:color="auto"/>
      </w:divBdr>
    </w:div>
    <w:div w:id="1734236137">
      <w:bodyDiv w:val="1"/>
      <w:marLeft w:val="0"/>
      <w:marRight w:val="0"/>
      <w:marTop w:val="0"/>
      <w:marBottom w:val="0"/>
      <w:divBdr>
        <w:top w:val="none" w:sz="0" w:space="0" w:color="auto"/>
        <w:left w:val="none" w:sz="0" w:space="0" w:color="auto"/>
        <w:bottom w:val="none" w:sz="0" w:space="0" w:color="auto"/>
        <w:right w:val="none" w:sz="0" w:space="0" w:color="auto"/>
      </w:divBdr>
    </w:div>
    <w:div w:id="1816993929">
      <w:bodyDiv w:val="1"/>
      <w:marLeft w:val="0"/>
      <w:marRight w:val="0"/>
      <w:marTop w:val="0"/>
      <w:marBottom w:val="0"/>
      <w:divBdr>
        <w:top w:val="none" w:sz="0" w:space="0" w:color="auto"/>
        <w:left w:val="none" w:sz="0" w:space="0" w:color="auto"/>
        <w:bottom w:val="none" w:sz="0" w:space="0" w:color="auto"/>
        <w:right w:val="none" w:sz="0" w:space="0" w:color="auto"/>
      </w:divBdr>
    </w:div>
    <w:div w:id="1858695477">
      <w:bodyDiv w:val="1"/>
      <w:marLeft w:val="0"/>
      <w:marRight w:val="0"/>
      <w:marTop w:val="0"/>
      <w:marBottom w:val="0"/>
      <w:divBdr>
        <w:top w:val="none" w:sz="0" w:space="0" w:color="auto"/>
        <w:left w:val="none" w:sz="0" w:space="0" w:color="auto"/>
        <w:bottom w:val="none" w:sz="0" w:space="0" w:color="auto"/>
        <w:right w:val="none" w:sz="0" w:space="0" w:color="auto"/>
      </w:divBdr>
    </w:div>
    <w:div w:id="1866823667">
      <w:bodyDiv w:val="1"/>
      <w:marLeft w:val="0"/>
      <w:marRight w:val="0"/>
      <w:marTop w:val="0"/>
      <w:marBottom w:val="0"/>
      <w:divBdr>
        <w:top w:val="none" w:sz="0" w:space="0" w:color="auto"/>
        <w:left w:val="none" w:sz="0" w:space="0" w:color="auto"/>
        <w:bottom w:val="none" w:sz="0" w:space="0" w:color="auto"/>
        <w:right w:val="none" w:sz="0" w:space="0" w:color="auto"/>
      </w:divBdr>
    </w:div>
    <w:div w:id="1920208757">
      <w:bodyDiv w:val="1"/>
      <w:marLeft w:val="0"/>
      <w:marRight w:val="0"/>
      <w:marTop w:val="0"/>
      <w:marBottom w:val="0"/>
      <w:divBdr>
        <w:top w:val="none" w:sz="0" w:space="0" w:color="auto"/>
        <w:left w:val="none" w:sz="0" w:space="0" w:color="auto"/>
        <w:bottom w:val="none" w:sz="0" w:space="0" w:color="auto"/>
        <w:right w:val="none" w:sz="0" w:space="0" w:color="auto"/>
      </w:divBdr>
    </w:div>
    <w:div w:id="1969895058">
      <w:bodyDiv w:val="1"/>
      <w:marLeft w:val="0"/>
      <w:marRight w:val="0"/>
      <w:marTop w:val="0"/>
      <w:marBottom w:val="0"/>
      <w:divBdr>
        <w:top w:val="none" w:sz="0" w:space="0" w:color="auto"/>
        <w:left w:val="none" w:sz="0" w:space="0" w:color="auto"/>
        <w:bottom w:val="none" w:sz="0" w:space="0" w:color="auto"/>
        <w:right w:val="none" w:sz="0" w:space="0" w:color="auto"/>
      </w:divBdr>
    </w:div>
    <w:div w:id="2141534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minsalud.gov.co/proteccionsocial/paginas/cifras-aseguramiento-salud.aspx" TargetMode="External"/><Relationship Id="rId18" Type="http://schemas.openxmlformats.org/officeDocument/2006/relationships/hyperlink" Target="https://www.minsalud.gov.co/proteccionsocial/Paginas/cifras-aseguramiento-salud.aspx" TargetMode="External"/><Relationship Id="rId26" Type="http://schemas.openxmlformats.org/officeDocument/2006/relationships/hyperlink" Target="https://mapas.supersalud.gov.co/arcgisportal/apps/sites/" TargetMode="External"/><Relationship Id="rId39" Type="http://schemas.openxmlformats.org/officeDocument/2006/relationships/hyperlink" Target="https://www.alcaldiabogota.gov.co/sisjur/normas/Norma1.jsp?i=62152&amp;utm_source=chatgpt.com" TargetMode="External"/><Relationship Id="rId21" Type="http://schemas.openxmlformats.org/officeDocument/2006/relationships/chart" Target="charts/chart3.xml"/><Relationship Id="rId34" Type="http://schemas.openxmlformats.org/officeDocument/2006/relationships/hyperlink" Target="https://www.secretariasenado.gov.co/senado/basedoc/ley_0715_2001.html?utm_source=chatgpt.com" TargetMode="External"/><Relationship Id="rId42" Type="http://schemas.openxmlformats.org/officeDocument/2006/relationships/hyperlink" Target="https://www.minsalud.gov.co/proteccionsocial/paginas/cifras-aseguramiento-salud.aspx?utm_source=chatgpt.com"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minsalud.gov.co/proteccionsocial/paginas/cifras-aseguramiento-salud.aspx" TargetMode="External"/><Relationship Id="rId29"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4.xml"/><Relationship Id="rId32" Type="http://schemas.openxmlformats.org/officeDocument/2006/relationships/hyperlink" Target="https://servicios.adres.gov.co/BDUA/Consulta-Afiliados-BDUA?utm_source=chatgpt.com" TargetMode="External"/><Relationship Id="rId37" Type="http://schemas.openxmlformats.org/officeDocument/2006/relationships/hyperlink" Target="https://www.secretariasenado.gov.co/senado/basedoc/ley_1438_2011.html?utm_source=chatgpt.com" TargetMode="External"/><Relationship Id="rId40" Type="http://schemas.openxmlformats.org/officeDocument/2006/relationships/hyperlink" Target="https://www.dane.gov.co/index.php/estadisticas-por-tema/demografia-y-poblacion/proyecciones-de-poblacion?utm_source=chatgpt.com" TargetMode="External"/><Relationship Id="rId45" Type="http://schemas.openxmlformats.org/officeDocument/2006/relationships/hyperlink" Target="https://www.alcaldiabogota.gov.co/sisjur/normas/Norma1.jsp?i=190983&amp;utm_source=chatgpt.com" TargetMode="Externa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yperlink" Target="https://mapas.supersalud.gov.co/arcgisportal/apps/sites/#/datos-abiertos/search?groupIds=9a4d8d6e18a94ad4a633ef878e6c638d&amp;q=2025" TargetMode="External"/><Relationship Id="rId28" Type="http://schemas.openxmlformats.org/officeDocument/2006/relationships/chart" Target="charts/chart6.xml"/><Relationship Id="rId36" Type="http://schemas.openxmlformats.org/officeDocument/2006/relationships/hyperlink" Target="https://www.alcaldiabogota.gov.co/sisjur/normas/Norma1.jsp?i=41249&amp;utm_source=chatgpt.com" TargetMode="External"/><Relationship Id="rId10" Type="http://schemas.openxmlformats.org/officeDocument/2006/relationships/endnotes" Target="endnotes.xml"/><Relationship Id="rId19" Type="http://schemas.openxmlformats.org/officeDocument/2006/relationships/chart" Target="charts/chart2.xml"/><Relationship Id="rId31" Type="http://schemas.openxmlformats.org/officeDocument/2006/relationships/hyperlink" Target="https://consultorsalud.com/lineamientos-para-el-calculo-del-capital-minimo-en-salud/" TargetMode="External"/><Relationship Id="rId44" Type="http://schemas.openxmlformats.org/officeDocument/2006/relationships/hyperlink" Target="https://www.suin-juriscol.gov.co/viewDocument.asp?ruta=Decretos%2F30021559&amp;utm_source=chatgpt.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 Id="rId22" Type="http://schemas.openxmlformats.org/officeDocument/2006/relationships/hyperlink" Target="https://www.supersalud.gov.co/es-co/transparencia-y-acceso-a-la-informacion-publica/datos-abiertos/seccion-de-datos-abiertos" TargetMode="External"/><Relationship Id="rId27" Type="http://schemas.openxmlformats.org/officeDocument/2006/relationships/chart" Target="charts/chart5.xml"/><Relationship Id="rId30" Type="http://schemas.openxmlformats.org/officeDocument/2006/relationships/hyperlink" Target="https://www.google.com/search?q=EAPB&amp;rlz=1C1GCEA_esCO1201CO1201&amp;biw=1707&amp;bih=791&amp;sca_esv=08d8e4cc01a975f8&amp;ei=ANaYaaC0Ibqe5NoPq4Tk4Qo&amp;ved=2ahUKEwiT68LxhemSAxWdNmIAHfIwIjAQgK4QegQIAhAF&amp;uact=5&amp;oq=en+salud+que+es+EPS+IPS+EAPB&amp;gs_lp=Egxnd3Mtd2l6LXNlcnAiHGVuIHNhbHVkIHF1ZSBlcyBFUFMgSVBTIEVBUEIyBRAhGKABMgUQIRigAUi0IlCBBljZHnACeAGQAQCYAfcBoAHiD6oBBjAuMTIuMbgBA8gBAPgBAZgCD6ACxRDCAgoQABiwAxjWBBhHwgIGEAAYFhgewgIIEAAYFhgKGB7CAgUQABjvBcICCBAAGIAEGKIEwgIEECEYFcICBRAhGJ8FmAMAiAYBkAYIkgcGMi4xMS4yoAeNLLIHBjAuMTEuMrgHuxDCBwUxLjUuOcgHOIAIAA&amp;sclient=gws-wiz-serp&amp;mstk=AUtExfBcYkKvBI2wdAD926BjCpzxSjc_vv7fVAGGxS83mpMgTnEtdJCZO1GtJs_libJ9loO5Tzzt-3TFk1XmzTMsnhzutz6rzIfl9RpzzBEBENKplF87F3juT_Pxz5Kcrjrau1U&amp;csui=3" TargetMode="External"/><Relationship Id="rId35" Type="http://schemas.openxmlformats.org/officeDocument/2006/relationships/hyperlink" Target="https://www.secretariasenado.gov.co/senado/basedoc/ley_1122_2007.html?utm_source=chatgpt.com" TargetMode="External"/><Relationship Id="rId43" Type="http://schemas.openxmlformats.org/officeDocument/2006/relationships/hyperlink" Target="https://www.funcionpublica.gov.co/eva/gestornormativo/norma.php?i=45322&amp;utm_source=chatgpt.com"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public.tableau.com/app/profile/minsaludcol/viz/CifrasAseguramientoenSalud_16166927767750/Aseguramiento" TargetMode="External"/><Relationship Id="rId17" Type="http://schemas.openxmlformats.org/officeDocument/2006/relationships/hyperlink" Target="https://public.tableau.com/app/profile/minsaludcol/viz/CifrasAseguramientoenSalud_16166927767750/Aseguramiento" TargetMode="External"/><Relationship Id="rId25" Type="http://schemas.openxmlformats.org/officeDocument/2006/relationships/hyperlink" Target="https://mapas.supersalud.gov.co/arcgisportal/apps/sites/" TargetMode="External"/><Relationship Id="rId33" Type="http://schemas.openxmlformats.org/officeDocument/2006/relationships/hyperlink" Target="https://www.secretariasenado.gov.co/senado/basedoc/ley_0100_1993.html?utm_source=chatgpt.com" TargetMode="External"/><Relationship Id="rId38" Type="http://schemas.openxmlformats.org/officeDocument/2006/relationships/hyperlink" Target="https://www.secretariasenado.gov.co/senado/basedoc/ley_1751_2015.html?utm_source=chatgpt.com" TargetMode="External"/><Relationship Id="rId46" Type="http://schemas.openxmlformats.org/officeDocument/2006/relationships/hyperlink" Target="https://www.alcaldiabogota.gov.co/sisjur/normas/Norma1.jsp?i=143808&amp;utm_source=chatgpt.com" TargetMode="External"/><Relationship Id="rId20" Type="http://schemas.openxmlformats.org/officeDocument/2006/relationships/hyperlink" Target="https://app.powerbi.com/viewr=eyJrIjoiYTMwY2Y4ZjEtNWI0MC00YjAxLThjOGUtMjdiYWZhZjVlZjgzIiwidCI6IjE3YzQwYzUxLWIxZGYtNGUyNS04Y2Q2LTlkMGQyNjc4ODMwMCIsImMiOjR9" TargetMode="External"/><Relationship Id="rId41" Type="http://schemas.openxmlformats.org/officeDocument/2006/relationships/hyperlink" Target="https://www.minsalud.gov.co/sites/rid/lists/bibliotecadigital/ride/de/dij/resolucion-3280-de-2018.pdf?utm_source=chatgpt.co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saludcapital.gov.co/Salud_info/Proy_salud_materno.pdf" TargetMode="External"/><Relationship Id="rId1" Type="http://schemas.openxmlformats.org/officeDocument/2006/relationships/hyperlink" Target="https://docs.supersalud.gov.co/PortalWeb/metodologias/OtrosDocumentosMetodologias/Abec&#233;%20reporte%20PQRD.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Asus\Desktop\Secretaria%20Distrital%20de%20salud\EJECUCION%20CONTRACTUAL\JUNIO%202026\Informe%20capital%20salud\Graficas_editables_Capital_Salud_REVISION_EXHAUSTIVA_28062026.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Users\Asus\Desktop\Secretaria%20Distrital%20de%20salud\EJECUCION%20CONTRACTUAL\JUNIO%202026\Informe%20capital%20salud\Tasa%20de%20reclamos%20en%20salud%20acumulados%20en%2012%20Capital%20Salud%20EPS%202020-2025%20&#8211;%20Bogot&#225;%20D.C.xlsx" TargetMode="External"/><Relationship Id="rId2" Type="http://schemas.microsoft.com/office/2011/relationships/chartColorStyle" Target="colors1.xml"/><Relationship Id="rId1" Type="http://schemas.microsoft.com/office/2011/relationships/chartStyle" Target="style1.xml"/></Relationships>
</file>

<file path=word/charts/_rels/chart4.xml.rels><?xml version="1.0" encoding="UTF-8" standalone="yes"?>
<Relationships xmlns="http://schemas.openxmlformats.org/package/2006/relationships"><Relationship Id="rId1" Type="http://schemas.openxmlformats.org/officeDocument/2006/relationships/oleObject" Target="file:///C:\Users\Asus\Desktop\Secretaria%20Distrital%20de%20salud\EJECUCION%20CONTRACTUAL\JUNIO%202026\Informe%20capital%20salud\Tabla_Grafica_Activos_Pasivos_Capital_Salud_2025.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sus\Desktop\Secretaria%20Distrital%20de%20salud\EJECUCION%20CONTRACTUAL\JUNIO%202026\Informe%20capital%20salud\Siniestralidad_Capital_Salud_2025_Editable.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sus\Desktop\Secretaria%20Distrital%20de%20salud\EJECUCION%20CONTRACTUAL\JUNIO%202026\Informe%20capital%20salud\Endeudamiento_Capital_Salud_2025_Editabl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209138630398473"/>
          <c:y val="5.241982854126237E-2"/>
          <c:w val="0.86896921975662134"/>
          <c:h val="0.71559449190664193"/>
        </c:manualLayout>
      </c:layout>
      <c:lineChart>
        <c:grouping val="standard"/>
        <c:varyColors val="1"/>
        <c:ser>
          <c:idx val="1"/>
          <c:order val="0"/>
          <c:tx>
            <c:strRef>
              <c:f>Afiliacion!$B$1</c:f>
              <c:strCache>
                <c:ptCount val="1"/>
                <c:pt idx="0">
                  <c:v>Contributivo</c:v>
                </c:pt>
              </c:strCache>
            </c:strRef>
          </c:tx>
          <c:spPr>
            <a:ln w="31750" cap="rnd">
              <a:solidFill>
                <a:schemeClr val="accent2"/>
              </a:solidFill>
              <a:round/>
              <a:tailEnd type="arrow"/>
            </a:ln>
            <a:effectLst/>
          </c:spPr>
          <c:marker>
            <c:symbol val="square"/>
            <c:size val="10"/>
            <c:spPr>
              <a:gradFill>
                <a:gsLst>
                  <a:gs pos="0">
                    <a:schemeClr val="accent2">
                      <a:lumMod val="102000"/>
                      <a:tint val="94000"/>
                    </a:schemeClr>
                  </a:gs>
                  <a:gs pos="50000">
                    <a:schemeClr val="accent2">
                      <a:lumMod val="100000"/>
                      <a:shade val="100000"/>
                    </a:schemeClr>
                  </a:gs>
                  <a:gs pos="100000">
                    <a:schemeClr val="accent2">
                      <a:lumMod val="99000"/>
                      <a:shade val="78000"/>
                    </a:schemeClr>
                  </a:gs>
                </a:gsLst>
                <a:lin ang="5400000" scaled="0"/>
                <a:tileRect/>
              </a:gradFill>
              <a:ln w="12700">
                <a:solidFill>
                  <a:schemeClr val="lt2"/>
                </a:solidFill>
                <a:round/>
              </a:ln>
              <a:effectLst/>
            </c:spPr>
          </c:marker>
          <c:dLbls>
            <c:dLbl>
              <c:idx val="4"/>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extLst>
                <c:ext xmlns:c16="http://schemas.microsoft.com/office/drawing/2014/chart" uri="{C3380CC4-5D6E-409C-BE32-E72D297353CC}">
                  <c16:uniqueId val="{00000003-8C81-4DBF-BC50-FFC809B5203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Afiliacion!$B$2:$B$6</c:f>
              <c:numCache>
                <c:formatCode>General</c:formatCode>
                <c:ptCount val="5"/>
                <c:pt idx="0">
                  <c:v>63365</c:v>
                </c:pt>
                <c:pt idx="1">
                  <c:v>78589</c:v>
                </c:pt>
                <c:pt idx="2">
                  <c:v>59112</c:v>
                </c:pt>
                <c:pt idx="3">
                  <c:v>58140</c:v>
                </c:pt>
                <c:pt idx="4">
                  <c:v>61961</c:v>
                </c:pt>
              </c:numCache>
            </c:numRef>
          </c:val>
          <c:smooth val="0"/>
          <c:extLst>
            <c:ext xmlns:c16="http://schemas.microsoft.com/office/drawing/2014/chart" uri="{C3380CC4-5D6E-409C-BE32-E72D297353CC}">
              <c16:uniqueId val="{00000000-8C81-4DBF-BC50-FFC809B5203A}"/>
            </c:ext>
          </c:extLst>
        </c:ser>
        <c:ser>
          <c:idx val="2"/>
          <c:order val="1"/>
          <c:tx>
            <c:strRef>
              <c:f>Afiliacion!$C$1</c:f>
              <c:strCache>
                <c:ptCount val="1"/>
                <c:pt idx="0">
                  <c:v>Subsidiado</c:v>
                </c:pt>
              </c:strCache>
            </c:strRef>
          </c:tx>
          <c:spPr>
            <a:ln w="31750" cap="rnd">
              <a:solidFill>
                <a:schemeClr val="accent1"/>
              </a:solidFill>
              <a:round/>
              <a:tailEnd type="arrow"/>
            </a:ln>
            <a:effectLst/>
          </c:spPr>
          <c:marker>
            <c:symbol val="triangle"/>
            <c:size val="10"/>
            <c:spPr>
              <a:solidFill>
                <a:schemeClr val="accent1"/>
              </a:solidFill>
              <a:ln w="12700">
                <a:solidFill>
                  <a:schemeClr val="lt2"/>
                </a:solidFill>
                <a:round/>
                <a:tailEnd type="arrow"/>
              </a:ln>
              <a:effectLst/>
            </c:spPr>
          </c:marker>
          <c:dLbls>
            <c:dLbl>
              <c:idx val="4"/>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extLst>
                <c:ext xmlns:c16="http://schemas.microsoft.com/office/drawing/2014/chart" uri="{C3380CC4-5D6E-409C-BE32-E72D297353CC}">
                  <c16:uniqueId val="{00000004-8C81-4DBF-BC50-FFC809B5203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Afiliacion!$C$2:$C$6</c:f>
              <c:numCache>
                <c:formatCode>General</c:formatCode>
                <c:ptCount val="5"/>
                <c:pt idx="0">
                  <c:v>895429</c:v>
                </c:pt>
                <c:pt idx="1">
                  <c:v>887151</c:v>
                </c:pt>
                <c:pt idx="2">
                  <c:v>879277</c:v>
                </c:pt>
                <c:pt idx="3">
                  <c:v>818621</c:v>
                </c:pt>
                <c:pt idx="4">
                  <c:v>838191</c:v>
                </c:pt>
              </c:numCache>
            </c:numRef>
          </c:val>
          <c:smooth val="0"/>
          <c:extLst>
            <c:ext xmlns:c16="http://schemas.microsoft.com/office/drawing/2014/chart" uri="{C3380CC4-5D6E-409C-BE32-E72D297353CC}">
              <c16:uniqueId val="{00000001-8C81-4DBF-BC50-FFC809B5203A}"/>
            </c:ext>
          </c:extLst>
        </c:ser>
        <c:dLbls>
          <c:dLblPos val="t"/>
          <c:showLegendKey val="0"/>
          <c:showVal val="1"/>
          <c:showCatName val="0"/>
          <c:showSerName val="0"/>
          <c:showPercent val="0"/>
          <c:showBubbleSize val="0"/>
        </c:dLbls>
        <c:marker val="1"/>
        <c:smooth val="0"/>
        <c:axId val="48650112"/>
        <c:axId val="48672768"/>
      </c:lineChart>
      <c:catAx>
        <c:axId val="48650112"/>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crossAx val="48672768"/>
        <c:crosses val="autoZero"/>
        <c:auto val="1"/>
        <c:lblAlgn val="ctr"/>
        <c:lblOffset val="100"/>
        <c:noMultiLvlLbl val="0"/>
      </c:catAx>
      <c:valAx>
        <c:axId val="48672768"/>
        <c:scaling>
          <c:orientation val="minMax"/>
        </c:scaling>
        <c:delete val="1"/>
        <c:axPos val="l"/>
        <c:numFmt formatCode="General" sourceLinked="1"/>
        <c:majorTickMark val="none"/>
        <c:minorTickMark val="none"/>
        <c:tickLblPos val="nextTo"/>
        <c:crossAx val="48650112"/>
        <c:crosses val="autoZero"/>
        <c:crossBetween val="between"/>
        <c:majorUnit val="20000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legend>
    <c:plotVisOnly val="1"/>
    <c:dispBlanksAs val="zero"/>
    <c:showDLblsOverMax val="1"/>
  </c:chart>
  <c:spPr>
    <a:solidFill>
      <a:schemeClr val="bg1"/>
    </a:solidFill>
    <a:ln w="9525" cap="flat" cmpd="sng" algn="ctr">
      <a:noFill/>
      <a:round/>
    </a:ln>
    <a:effectLst/>
  </c:spPr>
  <c:txPr>
    <a:bodyPr/>
    <a:lstStyle/>
    <a:p>
      <a:pPr>
        <a:defRPr>
          <a:solidFill>
            <a:schemeClr val="tx1"/>
          </a:solidFill>
          <a:latin typeface="Arial" panose="020B0604020202020204" pitchFamily="34" charset="0"/>
          <a:cs typeface="Arial" panose="020B0604020202020204" pitchFamily="34" charset="0"/>
        </a:defRPr>
      </a:pPr>
      <a:endParaRPr lang="es-CO"/>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'Tasa Reclamos 12 meses capital'!$B$1</c:f>
              <c:strCache>
                <c:ptCount val="1"/>
                <c:pt idx="0">
                  <c:v>Tasa Reclamos 12 Meses</c:v>
                </c:pt>
              </c:strCache>
            </c:strRef>
          </c:tx>
          <c:spPr>
            <a:ln w="28575" cap="rnd">
              <a:solidFill>
                <a:schemeClr val="accent2">
                  <a:lumMod val="50000"/>
                </a:schemeClr>
              </a:solidFill>
              <a:round/>
              <a:tailEnd type="arrow"/>
            </a:ln>
            <a:effectLst/>
          </c:spPr>
          <c:marker>
            <c:symbol val="circle"/>
            <c:size val="5"/>
            <c:spPr>
              <a:solidFill>
                <a:schemeClr val="bg1">
                  <a:lumMod val="85000"/>
                </a:schemeClr>
              </a:solidFill>
              <a:ln w="9525">
                <a:solidFill>
                  <a:schemeClr val="accent1"/>
                </a:solidFill>
              </a:ln>
              <a:effectLst/>
            </c:spPr>
          </c:marker>
          <c:dLbls>
            <c:dLbl>
              <c:idx val="5"/>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extLst>
                <c:ext xmlns:c16="http://schemas.microsoft.com/office/drawing/2014/chart" uri="{C3380CC4-5D6E-409C-BE32-E72D297353CC}">
                  <c16:uniqueId val="{00000001-BB85-4E6D-B203-A035CD175873}"/>
                </c:ext>
              </c:extLst>
            </c:dLbl>
            <c:spPr>
              <a:noFill/>
              <a:ln>
                <a:noFill/>
              </a:ln>
              <a:effectLst/>
            </c:spPr>
            <c:txPr>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'Tasa Reclamos 12 meses capital'!$A$2:$A$7</c:f>
              <c:numCache>
                <c:formatCode>General</c:formatCode>
                <c:ptCount val="6"/>
                <c:pt idx="0">
                  <c:v>2020</c:v>
                </c:pt>
                <c:pt idx="1">
                  <c:v>2021</c:v>
                </c:pt>
                <c:pt idx="2">
                  <c:v>2022</c:v>
                </c:pt>
                <c:pt idx="3">
                  <c:v>2023</c:v>
                </c:pt>
                <c:pt idx="4">
                  <c:v>2024</c:v>
                </c:pt>
                <c:pt idx="5">
                  <c:v>2025</c:v>
                </c:pt>
              </c:numCache>
            </c:numRef>
          </c:cat>
          <c:val>
            <c:numRef>
              <c:f>'Tasa Reclamos 12 meses capital'!$B$2:$B$7</c:f>
              <c:numCache>
                <c:formatCode>General</c:formatCode>
                <c:ptCount val="6"/>
                <c:pt idx="0">
                  <c:v>302.31</c:v>
                </c:pt>
                <c:pt idx="1">
                  <c:v>360.22</c:v>
                </c:pt>
                <c:pt idx="2">
                  <c:v>397.34</c:v>
                </c:pt>
                <c:pt idx="3">
                  <c:v>425.48</c:v>
                </c:pt>
                <c:pt idx="4">
                  <c:v>501.53</c:v>
                </c:pt>
                <c:pt idx="5">
                  <c:v>660.23</c:v>
                </c:pt>
              </c:numCache>
            </c:numRef>
          </c:val>
          <c:smooth val="0"/>
          <c:extLst>
            <c:ext xmlns:c16="http://schemas.microsoft.com/office/drawing/2014/chart" uri="{C3380CC4-5D6E-409C-BE32-E72D297353CC}">
              <c16:uniqueId val="{00000000-BB85-4E6D-B203-A035CD175873}"/>
            </c:ext>
          </c:extLst>
        </c:ser>
        <c:dLbls>
          <c:showLegendKey val="0"/>
          <c:showVal val="0"/>
          <c:showCatName val="0"/>
          <c:showSerName val="0"/>
          <c:showPercent val="0"/>
          <c:showBubbleSize val="0"/>
        </c:dLbls>
        <c:marker val="1"/>
        <c:smooth val="0"/>
        <c:axId val="2007719056"/>
        <c:axId val="2007720688"/>
      </c:lineChart>
      <c:catAx>
        <c:axId val="2007719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crossAx val="2007720688"/>
        <c:crosses val="autoZero"/>
        <c:auto val="1"/>
        <c:lblAlgn val="ctr"/>
        <c:lblOffset val="100"/>
        <c:noMultiLvlLbl val="0"/>
      </c:catAx>
      <c:valAx>
        <c:axId val="2007720688"/>
        <c:scaling>
          <c:orientation val="minMax"/>
        </c:scaling>
        <c:delete val="1"/>
        <c:axPos val="l"/>
        <c:numFmt formatCode="General" sourceLinked="1"/>
        <c:majorTickMark val="none"/>
        <c:minorTickMark val="none"/>
        <c:tickLblPos val="nextTo"/>
        <c:crossAx val="200771905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100">
          <a:solidFill>
            <a:schemeClr val="tx1"/>
          </a:solidFill>
          <a:latin typeface="Arial" panose="020B0604020202020204" pitchFamily="34" charset="0"/>
          <a:cs typeface="Arial" panose="020B0604020202020204" pitchFamily="34" charset="0"/>
        </a:defRPr>
      </a:pPr>
      <a:endParaRPr lang="es-C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es-ES"/>
  <c:roundedCorners val="0"/>
  <c:style val="2"/>
  <c:chart>
    <c:autoTitleDeleted val="1"/>
    <c:plotArea>
      <c:layout/>
      <c:barChart>
        <c:barDir val="col"/>
        <c:grouping val="clustered"/>
        <c:varyColors val="0"/>
        <c:ser>
          <c:idx val="0"/>
          <c:order val="0"/>
          <c:tx>
            <c:strRef>
              <c:f>label 0</c:f>
              <c:strCache>
                <c:ptCount val="1"/>
                <c:pt idx="0">
                  <c:v>Población asegurada</c:v>
                </c:pt>
              </c:strCache>
            </c:strRef>
          </c:tx>
          <c:spPr>
            <a:solidFill>
              <a:schemeClr val="accent5"/>
            </a:solidFill>
            <a:ln w="19050" cap="flat" cmpd="sng" algn="ctr">
              <a:prstDash val="solid"/>
              <a:miter lim="800000"/>
            </a:ln>
            <a:effectLst/>
          </c:spPr>
          <c:invertIfNegative val="0"/>
          <c:dLbls>
            <c:spPr>
              <a:noFill/>
              <a:ln>
                <a:noFill/>
              </a:ln>
              <a:effectLst/>
            </c:spPr>
            <c:txPr>
              <a:bodyPr wrap="square" lIns="38100" tIns="19050" rIns="38100" bIns="19050" anchor="ctr">
                <a:spAutoFit/>
              </a:bodyPr>
              <a:lstStyle/>
              <a:p>
                <a:pPr>
                  <a:defRPr sz="700"/>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categories</c:f>
              <c:strCache>
                <c:ptCount val="20"/>
                <c:pt idx="0">
                  <c:v>Ciudad Bolívar</c:v>
                </c:pt>
                <c:pt idx="1">
                  <c:v>Bosa</c:v>
                </c:pt>
                <c:pt idx="2">
                  <c:v>Kennedy</c:v>
                </c:pt>
                <c:pt idx="3">
                  <c:v>Usme</c:v>
                </c:pt>
                <c:pt idx="4">
                  <c:v>Suba</c:v>
                </c:pt>
                <c:pt idx="5">
                  <c:v>San Cristóbal</c:v>
                </c:pt>
                <c:pt idx="6">
                  <c:v>Rafael Uribe</c:v>
                </c:pt>
                <c:pt idx="7">
                  <c:v>Engativá</c:v>
                </c:pt>
                <c:pt idx="8">
                  <c:v>Santa Fe</c:v>
                </c:pt>
                <c:pt idx="9">
                  <c:v>Tunjuelito</c:v>
                </c:pt>
                <c:pt idx="10">
                  <c:v>Usaquén</c:v>
                </c:pt>
                <c:pt idx="11">
                  <c:v>Fontibón</c:v>
                </c:pt>
                <c:pt idx="12">
                  <c:v>Puente Aranda</c:v>
                </c:pt>
                <c:pt idx="13">
                  <c:v>Mártires</c:v>
                </c:pt>
                <c:pt idx="14">
                  <c:v>Barrios Unidos</c:v>
                </c:pt>
                <c:pt idx="15">
                  <c:v>Antonio Nariño</c:v>
                </c:pt>
                <c:pt idx="16">
                  <c:v>Chapinero</c:v>
                </c:pt>
                <c:pt idx="17">
                  <c:v>Teusaquillo</c:v>
                </c:pt>
                <c:pt idx="18">
                  <c:v>Candelaria</c:v>
                </c:pt>
                <c:pt idx="19">
                  <c:v>Sumapaz</c:v>
                </c:pt>
              </c:strCache>
            </c:strRef>
          </c:cat>
          <c:val>
            <c:numRef>
              <c:f>0</c:f>
              <c:numCache>
                <c:formatCode>General</c:formatCode>
                <c:ptCount val="20"/>
                <c:pt idx="0">
                  <c:v>123078</c:v>
                </c:pt>
                <c:pt idx="1">
                  <c:v>120604</c:v>
                </c:pt>
                <c:pt idx="2">
                  <c:v>114588</c:v>
                </c:pt>
                <c:pt idx="3">
                  <c:v>74636</c:v>
                </c:pt>
                <c:pt idx="4">
                  <c:v>70416</c:v>
                </c:pt>
                <c:pt idx="5">
                  <c:v>69259</c:v>
                </c:pt>
                <c:pt idx="6">
                  <c:v>62702</c:v>
                </c:pt>
                <c:pt idx="7">
                  <c:v>62489</c:v>
                </c:pt>
                <c:pt idx="8">
                  <c:v>32461</c:v>
                </c:pt>
                <c:pt idx="9">
                  <c:v>28718</c:v>
                </c:pt>
                <c:pt idx="10">
                  <c:v>28413</c:v>
                </c:pt>
                <c:pt idx="11">
                  <c:v>22897</c:v>
                </c:pt>
                <c:pt idx="12">
                  <c:v>20505</c:v>
                </c:pt>
                <c:pt idx="13">
                  <c:v>19635</c:v>
                </c:pt>
                <c:pt idx="14">
                  <c:v>13055</c:v>
                </c:pt>
                <c:pt idx="15">
                  <c:v>10958</c:v>
                </c:pt>
                <c:pt idx="16">
                  <c:v>9785</c:v>
                </c:pt>
                <c:pt idx="17">
                  <c:v>6952</c:v>
                </c:pt>
                <c:pt idx="18">
                  <c:v>5567</c:v>
                </c:pt>
                <c:pt idx="19">
                  <c:v>1391</c:v>
                </c:pt>
              </c:numCache>
            </c:numRef>
          </c:val>
          <c:extLst>
            <c:ext xmlns:c16="http://schemas.microsoft.com/office/drawing/2014/chart" uri="{C3380CC4-5D6E-409C-BE32-E72D297353CC}">
              <c16:uniqueId val="{00000000-D48C-466D-B701-C5A427AAC1E5}"/>
            </c:ext>
          </c:extLst>
        </c:ser>
        <c:dLbls>
          <c:showLegendKey val="0"/>
          <c:showVal val="1"/>
          <c:showCatName val="0"/>
          <c:showSerName val="0"/>
          <c:showPercent val="0"/>
          <c:showBubbleSize val="0"/>
        </c:dLbls>
        <c:gapWidth val="219"/>
        <c:overlap val="-27"/>
        <c:axId val="15938734"/>
        <c:axId val="77040397"/>
      </c:barChart>
      <c:lineChart>
        <c:grouping val="standard"/>
        <c:varyColors val="0"/>
        <c:ser>
          <c:idx val="1"/>
          <c:order val="1"/>
          <c:tx>
            <c:strRef>
              <c:f>label 1</c:f>
              <c:strCache>
                <c:ptCount val="1"/>
                <c:pt idx="0">
                  <c:v>Puntos de dispensación</c:v>
                </c:pt>
              </c:strCache>
            </c:strRef>
          </c:tx>
          <c:spPr>
            <a:ln w="28440" cap="rnd">
              <a:solidFill>
                <a:srgbClr val="C00000"/>
              </a:solidFill>
              <a:round/>
            </a:ln>
          </c:spPr>
          <c:marker>
            <c:symbol val="none"/>
          </c:marker>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28440">
                      <a:solidFill>
                        <a:srgbClr val="000000"/>
                      </a:solidFill>
                    </a:ln>
                  </c:spPr>
                </c15:leaderLines>
              </c:ext>
            </c:extLst>
          </c:dLbls>
          <c:cat>
            <c:strRef>
              <c:f>categories</c:f>
              <c:strCache>
                <c:ptCount val="20"/>
                <c:pt idx="0">
                  <c:v>Ciudad Bolívar</c:v>
                </c:pt>
                <c:pt idx="1">
                  <c:v>Bosa</c:v>
                </c:pt>
                <c:pt idx="2">
                  <c:v>Kennedy</c:v>
                </c:pt>
                <c:pt idx="3">
                  <c:v>Usme</c:v>
                </c:pt>
                <c:pt idx="4">
                  <c:v>Suba</c:v>
                </c:pt>
                <c:pt idx="5">
                  <c:v>San Cristóbal</c:v>
                </c:pt>
                <c:pt idx="6">
                  <c:v>Rafael Uribe</c:v>
                </c:pt>
                <c:pt idx="7">
                  <c:v>Engativá</c:v>
                </c:pt>
                <c:pt idx="8">
                  <c:v>Santa Fe</c:v>
                </c:pt>
                <c:pt idx="9">
                  <c:v>Tunjuelito</c:v>
                </c:pt>
                <c:pt idx="10">
                  <c:v>Usaquén</c:v>
                </c:pt>
                <c:pt idx="11">
                  <c:v>Fontibón</c:v>
                </c:pt>
                <c:pt idx="12">
                  <c:v>Puente Aranda</c:v>
                </c:pt>
                <c:pt idx="13">
                  <c:v>Mártires</c:v>
                </c:pt>
                <c:pt idx="14">
                  <c:v>Barrios Unidos</c:v>
                </c:pt>
                <c:pt idx="15">
                  <c:v>Antonio Nariño</c:v>
                </c:pt>
                <c:pt idx="16">
                  <c:v>Chapinero</c:v>
                </c:pt>
                <c:pt idx="17">
                  <c:v>Teusaquillo</c:v>
                </c:pt>
                <c:pt idx="18">
                  <c:v>Candelaria</c:v>
                </c:pt>
                <c:pt idx="19">
                  <c:v>Sumapaz</c:v>
                </c:pt>
              </c:strCache>
            </c:strRef>
          </c:cat>
          <c:val>
            <c:numRef>
              <c:f>1</c:f>
              <c:numCache>
                <c:formatCode>General</c:formatCode>
                <c:ptCount val="20"/>
                <c:pt idx="0">
                  <c:v>1</c:v>
                </c:pt>
                <c:pt idx="1">
                  <c:v>2</c:v>
                </c:pt>
                <c:pt idx="2">
                  <c:v>1</c:v>
                </c:pt>
                <c:pt idx="3">
                  <c:v>1</c:v>
                </c:pt>
                <c:pt idx="4">
                  <c:v>1</c:v>
                </c:pt>
                <c:pt idx="5">
                  <c:v>1</c:v>
                </c:pt>
                <c:pt idx="6">
                  <c:v>0</c:v>
                </c:pt>
                <c:pt idx="7">
                  <c:v>1</c:v>
                </c:pt>
                <c:pt idx="8">
                  <c:v>0</c:v>
                </c:pt>
                <c:pt idx="9">
                  <c:v>1</c:v>
                </c:pt>
                <c:pt idx="10">
                  <c:v>0</c:v>
                </c:pt>
                <c:pt idx="11">
                  <c:v>1</c:v>
                </c:pt>
                <c:pt idx="12">
                  <c:v>0</c:v>
                </c:pt>
                <c:pt idx="13">
                  <c:v>0</c:v>
                </c:pt>
                <c:pt idx="14">
                  <c:v>2</c:v>
                </c:pt>
                <c:pt idx="15">
                  <c:v>1</c:v>
                </c:pt>
                <c:pt idx="16">
                  <c:v>1</c:v>
                </c:pt>
                <c:pt idx="17">
                  <c:v>0</c:v>
                </c:pt>
                <c:pt idx="18">
                  <c:v>0</c:v>
                </c:pt>
                <c:pt idx="19">
                  <c:v>0</c:v>
                </c:pt>
              </c:numCache>
            </c:numRef>
          </c:val>
          <c:smooth val="0"/>
          <c:extLst>
            <c:ext xmlns:c16="http://schemas.microsoft.com/office/drawing/2014/chart" uri="{C3380CC4-5D6E-409C-BE32-E72D297353CC}">
              <c16:uniqueId val="{00000001-D48C-466D-B701-C5A427AAC1E5}"/>
            </c:ext>
          </c:extLst>
        </c:ser>
        <c:dLbls>
          <c:showLegendKey val="0"/>
          <c:showVal val="1"/>
          <c:showCatName val="0"/>
          <c:showSerName val="0"/>
          <c:showPercent val="0"/>
          <c:showBubbleSize val="0"/>
        </c:dLbls>
        <c:hiLowLines>
          <c:spPr>
            <a:ln w="0">
              <a:noFill/>
            </a:ln>
          </c:spPr>
        </c:hiLowLines>
        <c:marker val="1"/>
        <c:smooth val="0"/>
        <c:axId val="41438954"/>
        <c:axId val="51981013"/>
      </c:lineChart>
      <c:catAx>
        <c:axId val="15938734"/>
        <c:scaling>
          <c:orientation val="minMax"/>
        </c:scaling>
        <c:delete val="0"/>
        <c:axPos val="b"/>
        <c:numFmt formatCode="General" sourceLinked="0"/>
        <c:majorTickMark val="none"/>
        <c:minorTickMark val="none"/>
        <c:tickLblPos val="nextTo"/>
        <c:spPr>
          <a:ln w="9360">
            <a:solidFill>
              <a:srgbClr val="D9D9D9"/>
            </a:solidFill>
            <a:round/>
          </a:ln>
        </c:spPr>
        <c:txPr>
          <a:bodyPr/>
          <a:lstStyle/>
          <a:p>
            <a:pPr>
              <a:defRPr sz="900"/>
            </a:pPr>
            <a:endParaRPr lang="es-CO"/>
          </a:p>
        </c:txPr>
        <c:crossAx val="77040397"/>
        <c:crosses val="autoZero"/>
        <c:auto val="1"/>
        <c:lblAlgn val="ctr"/>
        <c:lblOffset val="100"/>
        <c:noMultiLvlLbl val="0"/>
      </c:catAx>
      <c:valAx>
        <c:axId val="77040397"/>
        <c:scaling>
          <c:orientation val="minMax"/>
        </c:scaling>
        <c:delete val="0"/>
        <c:axPos val="r"/>
        <c:numFmt formatCode="General" sourceLinked="0"/>
        <c:majorTickMark val="none"/>
        <c:minorTickMark val="none"/>
        <c:tickLblPos val="nextTo"/>
        <c:spPr>
          <a:ln w="6480">
            <a:noFill/>
          </a:ln>
        </c:spPr>
        <c:txPr>
          <a:bodyPr/>
          <a:lstStyle/>
          <a:p>
            <a:pPr>
              <a:defRPr sz="800" b="1"/>
            </a:pPr>
            <a:endParaRPr lang="es-CO"/>
          </a:p>
        </c:txPr>
        <c:crossAx val="15938734"/>
        <c:crosses val="max"/>
        <c:crossBetween val="between"/>
      </c:valAx>
      <c:catAx>
        <c:axId val="41438954"/>
        <c:scaling>
          <c:orientation val="minMax"/>
        </c:scaling>
        <c:delete val="1"/>
        <c:axPos val="b"/>
        <c:numFmt formatCode="General" sourceLinked="1"/>
        <c:majorTickMark val="none"/>
        <c:minorTickMark val="none"/>
        <c:tickLblPos val="nextTo"/>
        <c:crossAx val="51981013"/>
        <c:crosses val="autoZero"/>
        <c:auto val="1"/>
        <c:lblAlgn val="ctr"/>
        <c:lblOffset val="100"/>
        <c:noMultiLvlLbl val="0"/>
      </c:catAx>
      <c:valAx>
        <c:axId val="51981013"/>
        <c:scaling>
          <c:orientation val="minMax"/>
        </c:scaling>
        <c:delete val="0"/>
        <c:axPos val="l"/>
        <c:numFmt formatCode="General" sourceLinked="0"/>
        <c:majorTickMark val="none"/>
        <c:minorTickMark val="none"/>
        <c:tickLblPos val="nextTo"/>
        <c:spPr>
          <a:ln w="6480">
            <a:noFill/>
          </a:ln>
        </c:spPr>
        <c:txPr>
          <a:bodyPr/>
          <a:lstStyle/>
          <a:p>
            <a:pPr>
              <a:defRPr sz="800" b="1"/>
            </a:pPr>
            <a:endParaRPr lang="es-CO"/>
          </a:p>
        </c:txPr>
        <c:crossAx val="41438954"/>
        <c:crosses val="autoZero"/>
        <c:crossBetween val="between"/>
      </c:valAx>
      <c:spPr>
        <a:noFill/>
        <a:ln w="0">
          <a:noFill/>
        </a:ln>
      </c:spPr>
    </c:plotArea>
    <c:legend>
      <c:legendPos val="b"/>
      <c:overlay val="0"/>
      <c:spPr>
        <a:noFill/>
        <a:ln w="0">
          <a:noFill/>
        </a:ln>
      </c:spPr>
    </c:legend>
    <c:plotVisOnly val="1"/>
    <c:dispBlanksAs val="gap"/>
    <c:showDLblsOverMax val="1"/>
  </c:chart>
  <c:spPr>
    <a:solidFill>
      <a:srgbClr val="FFFFFF"/>
    </a:solidFill>
    <a:ln w="9360">
      <a:noFill/>
      <a:round/>
    </a:ln>
  </c:spPr>
  <c:txPr>
    <a:bodyPr/>
    <a:lstStyle/>
    <a:p>
      <a:pPr>
        <a:defRPr>
          <a:latin typeface="Arial" panose="020B0604020202020204" pitchFamily="34" charset="0"/>
          <a:cs typeface="Arial" panose="020B0604020202020204" pitchFamily="34" charset="0"/>
        </a:defRPr>
      </a:pPr>
      <a:endParaRPr lang="es-CO"/>
    </a:p>
  </c:txPr>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lineChart>
        <c:grouping val="standard"/>
        <c:varyColors val="1"/>
        <c:ser>
          <c:idx val="0"/>
          <c:order val="0"/>
          <c:tx>
            <c:v>Total Activos</c:v>
          </c:tx>
          <c:spPr>
            <a:ln w="38100" cap="rnd" cmpd="sng" algn="ctr">
              <a:solidFill>
                <a:schemeClr val="accent6">
                  <a:lumMod val="50000"/>
                </a:schemeClr>
              </a:solidFill>
              <a:prstDash val="solid"/>
              <a:round/>
            </a:ln>
            <a:effectLst/>
          </c:spPr>
          <c:marker>
            <c:spPr>
              <a:solidFill>
                <a:schemeClr val="accent6">
                  <a:lumMod val="50000"/>
                </a:schemeClr>
              </a:solidFill>
              <a:ln w="12700" cap="flat" cmpd="sng" algn="ctr">
                <a:solidFill>
                  <a:schemeClr val="accent3">
                    <a:shade val="76000"/>
                  </a:schemeClr>
                </a:solidFill>
                <a:prstDash val="solid"/>
                <a:round/>
              </a:ln>
              <a:effectLst/>
            </c:spPr>
          </c:marker>
          <c:dLbls>
            <c:dLbl>
              <c:idx val="11"/>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extLst>
                <c:ext xmlns:c16="http://schemas.microsoft.com/office/drawing/2014/chart" uri="{C3380CC4-5D6E-409C-BE32-E72D297353CC}">
                  <c16:uniqueId val="{00000002-72C7-46A0-BFB4-29FFD48307E4}"/>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12700" cap="flat" cmpd="sng" algn="ctr">
                      <a:solidFill>
                        <a:schemeClr val="tx1"/>
                      </a:solidFill>
                      <a:prstDash val="solid"/>
                      <a:round/>
                    </a:ln>
                    <a:effectLst/>
                  </c:spPr>
                </c15:leaderLines>
              </c:ext>
            </c:extLst>
          </c:dLbls>
          <c:cat>
            <c:strRef>
              <c:f>Datos_Grafica!$A$5:$A$16</c:f>
              <c:strCache>
                <c:ptCount val="12"/>
                <c:pt idx="0">
                  <c:v>Enero</c:v>
                </c:pt>
                <c:pt idx="1">
                  <c:v>Febrero</c:v>
                </c:pt>
                <c:pt idx="2">
                  <c:v>Marzo</c:v>
                </c:pt>
                <c:pt idx="3">
                  <c:v>Abril</c:v>
                </c:pt>
                <c:pt idx="4">
                  <c:v>Mayo</c:v>
                </c:pt>
                <c:pt idx="5">
                  <c:v>Junio</c:v>
                </c:pt>
                <c:pt idx="6">
                  <c:v>Julio</c:v>
                </c:pt>
                <c:pt idx="7">
                  <c:v>Agosto</c:v>
                </c:pt>
                <c:pt idx="8">
                  <c:v>Septiembre</c:v>
                </c:pt>
                <c:pt idx="9">
                  <c:v>Octubre</c:v>
                </c:pt>
                <c:pt idx="10">
                  <c:v>Noviembre</c:v>
                </c:pt>
                <c:pt idx="11">
                  <c:v>Diciembre</c:v>
                </c:pt>
              </c:strCache>
            </c:strRef>
          </c:cat>
          <c:val>
            <c:numRef>
              <c:f>Datos_Grafica!$B$5:$B$16</c:f>
              <c:numCache>
                <c:formatCode>\$#,##0</c:formatCode>
                <c:ptCount val="12"/>
                <c:pt idx="0">
                  <c:v>471497</c:v>
                </c:pt>
                <c:pt idx="1">
                  <c:v>487810</c:v>
                </c:pt>
                <c:pt idx="2">
                  <c:v>483847</c:v>
                </c:pt>
                <c:pt idx="3">
                  <c:v>481281</c:v>
                </c:pt>
                <c:pt idx="4">
                  <c:v>473637</c:v>
                </c:pt>
                <c:pt idx="5">
                  <c:v>483833</c:v>
                </c:pt>
                <c:pt idx="6">
                  <c:v>495983</c:v>
                </c:pt>
                <c:pt idx="7">
                  <c:v>498461</c:v>
                </c:pt>
                <c:pt idx="8">
                  <c:v>537292</c:v>
                </c:pt>
                <c:pt idx="9">
                  <c:v>517215</c:v>
                </c:pt>
                <c:pt idx="10">
                  <c:v>479161</c:v>
                </c:pt>
                <c:pt idx="11">
                  <c:v>485120</c:v>
                </c:pt>
              </c:numCache>
            </c:numRef>
          </c:val>
          <c:smooth val="0"/>
          <c:extLst>
            <c:ext xmlns:c16="http://schemas.microsoft.com/office/drawing/2014/chart" uri="{C3380CC4-5D6E-409C-BE32-E72D297353CC}">
              <c16:uniqueId val="{00000000-72C7-46A0-BFB4-29FFD48307E4}"/>
            </c:ext>
          </c:extLst>
        </c:ser>
        <c:ser>
          <c:idx val="1"/>
          <c:order val="1"/>
          <c:tx>
            <c:v>Total Pasivos</c:v>
          </c:tx>
          <c:spPr>
            <a:ln w="38100" cap="rnd" cmpd="sng" algn="ctr">
              <a:solidFill>
                <a:srgbClr val="C00000"/>
              </a:solidFill>
              <a:prstDash val="solid"/>
              <a:round/>
            </a:ln>
            <a:effectLst/>
          </c:spPr>
          <c:marker>
            <c:spPr>
              <a:solidFill>
                <a:srgbClr val="C00000"/>
              </a:solidFill>
              <a:ln w="12700" cap="flat" cmpd="sng" algn="ctr">
                <a:solidFill>
                  <a:schemeClr val="accent3">
                    <a:tint val="77000"/>
                  </a:schemeClr>
                </a:solidFill>
                <a:prstDash val="solid"/>
                <a:round/>
              </a:ln>
              <a:effectLst/>
            </c:spPr>
          </c:marker>
          <c:dLbls>
            <c:dLbl>
              <c:idx val="11"/>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dLblPos val="b"/>
              <c:showLegendKey val="0"/>
              <c:showVal val="1"/>
              <c:showCatName val="0"/>
              <c:showSerName val="0"/>
              <c:showPercent val="0"/>
              <c:showBubbleSize val="0"/>
              <c:extLst>
                <c:ext xmlns:c16="http://schemas.microsoft.com/office/drawing/2014/chart" uri="{C3380CC4-5D6E-409C-BE32-E72D297353CC}">
                  <c16:uniqueId val="{00000003-72C7-46A0-BFB4-29FFD48307E4}"/>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12700" cap="flat" cmpd="sng" algn="ctr">
                      <a:solidFill>
                        <a:schemeClr val="tx1"/>
                      </a:solidFill>
                      <a:prstDash val="solid"/>
                      <a:round/>
                    </a:ln>
                    <a:effectLst/>
                  </c:spPr>
                </c15:leaderLines>
              </c:ext>
            </c:extLst>
          </c:dLbls>
          <c:cat>
            <c:strRef>
              <c:f>Datos_Grafica!$A$5:$A$16</c:f>
              <c:strCache>
                <c:ptCount val="12"/>
                <c:pt idx="0">
                  <c:v>Enero</c:v>
                </c:pt>
                <c:pt idx="1">
                  <c:v>Febrero</c:v>
                </c:pt>
                <c:pt idx="2">
                  <c:v>Marzo</c:v>
                </c:pt>
                <c:pt idx="3">
                  <c:v>Abril</c:v>
                </c:pt>
                <c:pt idx="4">
                  <c:v>Mayo</c:v>
                </c:pt>
                <c:pt idx="5">
                  <c:v>Junio</c:v>
                </c:pt>
                <c:pt idx="6">
                  <c:v>Julio</c:v>
                </c:pt>
                <c:pt idx="7">
                  <c:v>Agosto</c:v>
                </c:pt>
                <c:pt idx="8">
                  <c:v>Septiembre</c:v>
                </c:pt>
                <c:pt idx="9">
                  <c:v>Octubre</c:v>
                </c:pt>
                <c:pt idx="10">
                  <c:v>Noviembre</c:v>
                </c:pt>
                <c:pt idx="11">
                  <c:v>Diciembre</c:v>
                </c:pt>
              </c:strCache>
            </c:strRef>
          </c:cat>
          <c:val>
            <c:numRef>
              <c:f>Datos_Grafica!$C$5:$C$16</c:f>
              <c:numCache>
                <c:formatCode>\$#,##0</c:formatCode>
                <c:ptCount val="12"/>
                <c:pt idx="0">
                  <c:v>404258</c:v>
                </c:pt>
                <c:pt idx="1">
                  <c:v>443420</c:v>
                </c:pt>
                <c:pt idx="2">
                  <c:v>449729</c:v>
                </c:pt>
                <c:pt idx="3">
                  <c:v>452326</c:v>
                </c:pt>
                <c:pt idx="4">
                  <c:v>470643</c:v>
                </c:pt>
                <c:pt idx="5">
                  <c:v>460233</c:v>
                </c:pt>
                <c:pt idx="6">
                  <c:v>490208</c:v>
                </c:pt>
                <c:pt idx="7">
                  <c:v>498257</c:v>
                </c:pt>
                <c:pt idx="8">
                  <c:v>515556</c:v>
                </c:pt>
                <c:pt idx="9">
                  <c:v>514052</c:v>
                </c:pt>
                <c:pt idx="10">
                  <c:v>452442</c:v>
                </c:pt>
                <c:pt idx="11">
                  <c:v>466797</c:v>
                </c:pt>
              </c:numCache>
            </c:numRef>
          </c:val>
          <c:smooth val="0"/>
          <c:extLst>
            <c:ext xmlns:c16="http://schemas.microsoft.com/office/drawing/2014/chart" uri="{C3380CC4-5D6E-409C-BE32-E72D297353CC}">
              <c16:uniqueId val="{00000001-72C7-46A0-BFB4-29FFD48307E4}"/>
            </c:ext>
          </c:extLst>
        </c:ser>
        <c:dLbls>
          <c:dLblPos val="t"/>
          <c:showLegendKey val="0"/>
          <c:showVal val="1"/>
          <c:showCatName val="0"/>
          <c:showSerName val="0"/>
          <c:showPercent val="0"/>
          <c:showBubbleSize val="0"/>
        </c:dLbls>
        <c:marker val="1"/>
        <c:smooth val="0"/>
        <c:axId val="48650112"/>
        <c:axId val="48672768"/>
      </c:lineChart>
      <c:catAx>
        <c:axId val="48650112"/>
        <c:scaling>
          <c:orientation val="minMax"/>
        </c:scaling>
        <c:delete val="0"/>
        <c:axPos val="b"/>
        <c:numFmt formatCode="General" sourceLinked="1"/>
        <c:majorTickMark val="none"/>
        <c:minorTickMark val="none"/>
        <c:tickLblPos val="nextTo"/>
        <c:spPr>
          <a:noFill/>
          <a:ln w="12700" cap="flat" cmpd="sng" algn="ctr">
            <a:solidFill>
              <a:schemeClr val="tx1"/>
            </a:solidFill>
            <a:prstDash val="solid"/>
            <a:round/>
          </a:ln>
          <a:effectLst/>
        </c:spPr>
        <c:txPr>
          <a:bodyPr rot="-600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crossAx val="48672768"/>
        <c:crosses val="autoZero"/>
        <c:auto val="1"/>
        <c:lblAlgn val="ctr"/>
        <c:lblOffset val="100"/>
        <c:noMultiLvlLbl val="0"/>
      </c:catAx>
      <c:valAx>
        <c:axId val="48672768"/>
        <c:scaling>
          <c:orientation val="minMax"/>
          <c:min val="350000"/>
        </c:scaling>
        <c:delete val="1"/>
        <c:axPos val="l"/>
        <c:numFmt formatCode="\$#,##0" sourceLinked="1"/>
        <c:majorTickMark val="none"/>
        <c:minorTickMark val="none"/>
        <c:tickLblPos val="nextTo"/>
        <c:crossAx val="48650112"/>
        <c:crosses val="autoZero"/>
        <c:crossBetween val="between"/>
      </c:valAx>
      <c:spPr>
        <a:solidFill>
          <a:schemeClr val="bg1"/>
        </a:solid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legend>
    <c:plotVisOnly val="1"/>
    <c:dispBlanksAs val="zero"/>
    <c:showDLblsOverMax val="1"/>
  </c:chart>
  <c:spPr>
    <a:solidFill>
      <a:schemeClr val="bg1"/>
    </a:solidFill>
    <a:ln w="9525" cap="flat" cmpd="sng" algn="ctr">
      <a:noFill/>
      <a:prstDash val="solid"/>
      <a:round/>
    </a:ln>
    <a:effectLst/>
  </c:spPr>
  <c:txPr>
    <a:bodyPr/>
    <a:lstStyle/>
    <a:p>
      <a:pPr>
        <a:defRPr>
          <a:latin typeface="Arial" panose="020B0604020202020204" pitchFamily="34" charset="0"/>
          <a:cs typeface="Arial" panose="020B0604020202020204" pitchFamily="34" charset="0"/>
        </a:defRPr>
      </a:pPr>
      <a:endParaRPr lang="es-CO"/>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es-ES"/>
  <c:roundedCorners val="0"/>
  <c:style val="2"/>
  <c:chart>
    <c:autoTitleDeleted val="1"/>
    <c:plotArea>
      <c:layout/>
      <c:barChart>
        <c:barDir val="col"/>
        <c:grouping val="clustered"/>
        <c:varyColors val="0"/>
        <c:ser>
          <c:idx val="0"/>
          <c:order val="0"/>
          <c:tx>
            <c:strRef>
              <c:f>label 0</c:f>
              <c:strCache>
                <c:ptCount val="1"/>
                <c:pt idx="0">
                  <c:v>Total Pasivos</c:v>
                </c:pt>
              </c:strCache>
            </c:strRef>
          </c:tx>
          <c:spPr>
            <a:solidFill>
              <a:schemeClr val="accent5"/>
            </a:solidFill>
            <a:ln w="19050" cap="flat" cmpd="sng" algn="ctr">
              <a:prstDash val="solid"/>
              <a:miter lim="800000"/>
            </a:ln>
            <a:effectLst/>
          </c:spPr>
          <c:invertIfNegative val="0"/>
          <c:dLbls>
            <c:numFmt formatCode="#,##0" sourceLinked="0"/>
            <c:spPr>
              <a:solidFill>
                <a:srgbClr val="FFFFFF"/>
              </a:solidFill>
            </c:sp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12"/>
                <c:pt idx="0">
                  <c:v>Enero </c:v>
                </c:pt>
                <c:pt idx="1">
                  <c:v>Febrero </c:v>
                </c:pt>
                <c:pt idx="2">
                  <c:v>Marzo</c:v>
                </c:pt>
                <c:pt idx="3">
                  <c:v>Abril</c:v>
                </c:pt>
                <c:pt idx="4">
                  <c:v>Mayo</c:v>
                </c:pt>
                <c:pt idx="5">
                  <c:v>Junio</c:v>
                </c:pt>
                <c:pt idx="6">
                  <c:v>Julio</c:v>
                </c:pt>
                <c:pt idx="7">
                  <c:v>Agosto</c:v>
                </c:pt>
                <c:pt idx="8">
                  <c:v>Septiembre</c:v>
                </c:pt>
                <c:pt idx="9">
                  <c:v>Octubre</c:v>
                </c:pt>
                <c:pt idx="10">
                  <c:v>Noviembre</c:v>
                </c:pt>
                <c:pt idx="11">
                  <c:v>Diciembre</c:v>
                </c:pt>
              </c:strCache>
            </c:strRef>
          </c:cat>
          <c:val>
            <c:numRef>
              <c:f>0</c:f>
              <c:numCache>
                <c:formatCode>General</c:formatCode>
                <c:ptCount val="12"/>
                <c:pt idx="0">
                  <c:v>404258</c:v>
                </c:pt>
                <c:pt idx="1">
                  <c:v>443420</c:v>
                </c:pt>
                <c:pt idx="2">
                  <c:v>449729</c:v>
                </c:pt>
                <c:pt idx="3">
                  <c:v>452326</c:v>
                </c:pt>
                <c:pt idx="4">
                  <c:v>470643</c:v>
                </c:pt>
                <c:pt idx="5">
                  <c:v>460233</c:v>
                </c:pt>
                <c:pt idx="6">
                  <c:v>490208</c:v>
                </c:pt>
                <c:pt idx="7">
                  <c:v>498257</c:v>
                </c:pt>
                <c:pt idx="8">
                  <c:v>515556</c:v>
                </c:pt>
                <c:pt idx="9">
                  <c:v>514052</c:v>
                </c:pt>
                <c:pt idx="10">
                  <c:v>452442</c:v>
                </c:pt>
                <c:pt idx="11">
                  <c:v>466797</c:v>
                </c:pt>
              </c:numCache>
            </c:numRef>
          </c:val>
          <c:extLst>
            <c:ext xmlns:c16="http://schemas.microsoft.com/office/drawing/2014/chart" uri="{C3380CC4-5D6E-409C-BE32-E72D297353CC}">
              <c16:uniqueId val="{00000000-2842-45F1-9EE6-FE4D1641CE92}"/>
            </c:ext>
          </c:extLst>
        </c:ser>
        <c:dLbls>
          <c:showLegendKey val="0"/>
          <c:showVal val="0"/>
          <c:showCatName val="0"/>
          <c:showSerName val="0"/>
          <c:showPercent val="0"/>
          <c:showBubbleSize val="0"/>
        </c:dLbls>
        <c:gapWidth val="219"/>
        <c:overlap val="-27"/>
        <c:axId val="80707074"/>
        <c:axId val="70975700"/>
      </c:barChart>
      <c:catAx>
        <c:axId val="80707074"/>
        <c:scaling>
          <c:orientation val="minMax"/>
        </c:scaling>
        <c:delete val="0"/>
        <c:axPos val="b"/>
        <c:numFmt formatCode="General" sourceLinked="0"/>
        <c:majorTickMark val="none"/>
        <c:minorTickMark val="none"/>
        <c:tickLblPos val="nextTo"/>
        <c:spPr>
          <a:ln w="9360">
            <a:solidFill>
              <a:srgbClr val="D9D9D9"/>
            </a:solidFill>
            <a:round/>
          </a:ln>
        </c:spPr>
        <c:txPr>
          <a:bodyPr/>
          <a:lstStyle/>
          <a:p>
            <a:pPr>
              <a:defRPr sz="800"/>
            </a:pPr>
            <a:endParaRPr lang="es-CO"/>
          </a:p>
        </c:txPr>
        <c:crossAx val="70975700"/>
        <c:crosses val="autoZero"/>
        <c:auto val="1"/>
        <c:lblAlgn val="ctr"/>
        <c:lblOffset val="100"/>
        <c:noMultiLvlLbl val="0"/>
      </c:catAx>
      <c:valAx>
        <c:axId val="70975700"/>
        <c:scaling>
          <c:orientation val="minMax"/>
        </c:scaling>
        <c:delete val="1"/>
        <c:axPos val="l"/>
        <c:numFmt formatCode="General" sourceLinked="1"/>
        <c:majorTickMark val="none"/>
        <c:minorTickMark val="none"/>
        <c:tickLblPos val="nextTo"/>
        <c:crossAx val="80707074"/>
        <c:crosses val="autoZero"/>
        <c:crossBetween val="between"/>
      </c:valAx>
      <c:spPr>
        <a:noFill/>
        <a:ln w="0">
          <a:noFill/>
        </a:ln>
      </c:spPr>
    </c:plotArea>
    <c:plotVisOnly val="1"/>
    <c:dispBlanksAs val="gap"/>
    <c:showDLblsOverMax val="1"/>
  </c:chart>
  <c:spPr>
    <a:noFill/>
    <a:ln w="9360">
      <a:noFill/>
      <a:round/>
    </a:ln>
  </c:spPr>
  <c:txPr>
    <a:bodyPr/>
    <a:lstStyle/>
    <a:p>
      <a:pPr>
        <a:defRPr>
          <a:solidFill>
            <a:schemeClr val="tx1"/>
          </a:solidFill>
          <a:latin typeface="Arial" panose="020B0604020202020204" pitchFamily="34" charset="0"/>
          <a:cs typeface="Arial" panose="020B0604020202020204" pitchFamily="34" charset="0"/>
        </a:defRPr>
      </a:pPr>
      <a:endParaRPr lang="es-CO"/>
    </a:p>
  </c:txPr>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5470368835474513E-2"/>
          <c:y val="3.4860316373496798E-2"/>
          <c:w val="0.96356467825422754"/>
          <c:h val="0.79772895395748167"/>
        </c:manualLayout>
      </c:layout>
      <c:lineChart>
        <c:grouping val="standard"/>
        <c:varyColors val="1"/>
        <c:ser>
          <c:idx val="0"/>
          <c:order val="0"/>
          <c:tx>
            <c:v>Siniestralidad</c:v>
          </c:tx>
          <c:spPr>
            <a:ln>
              <a:solidFill>
                <a:srgbClr val="C00000"/>
              </a:solidFill>
              <a:tailEnd type="arrow"/>
            </a:ln>
          </c:spPr>
          <c:marker>
            <c:symbol val="diamond"/>
            <c:size val="5"/>
            <c:spPr>
              <a:ln w="79375">
                <a:solidFill>
                  <a:srgbClr val="C00000"/>
                </a:solidFill>
              </a:ln>
            </c:spPr>
          </c:marker>
          <c:dLbls>
            <c:spPr>
              <a:noFill/>
              <a:ln>
                <a:noFill/>
              </a:ln>
              <a:effectLst/>
            </c:spPr>
            <c:txPr>
              <a:bodyPr/>
              <a:lstStyle/>
              <a:p>
                <a:pPr>
                  <a:defRPr sz="1000"/>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'Siniestralidad 2025'!$A$2:$A$13</c:f>
              <c:strCache>
                <c:ptCount val="12"/>
                <c:pt idx="0">
                  <c:v>ene-25</c:v>
                </c:pt>
                <c:pt idx="1">
                  <c:v>feb-25</c:v>
                </c:pt>
                <c:pt idx="2">
                  <c:v>mar-25</c:v>
                </c:pt>
                <c:pt idx="3">
                  <c:v>abr-25</c:v>
                </c:pt>
                <c:pt idx="4">
                  <c:v>may-25</c:v>
                </c:pt>
                <c:pt idx="5">
                  <c:v>jun-25</c:v>
                </c:pt>
                <c:pt idx="6">
                  <c:v>jul-25</c:v>
                </c:pt>
                <c:pt idx="7">
                  <c:v>ago-25</c:v>
                </c:pt>
                <c:pt idx="8">
                  <c:v>sep-25</c:v>
                </c:pt>
                <c:pt idx="9">
                  <c:v>oct-25</c:v>
                </c:pt>
                <c:pt idx="10">
                  <c:v>nov-25</c:v>
                </c:pt>
                <c:pt idx="11">
                  <c:v>dic-25</c:v>
                </c:pt>
              </c:strCache>
            </c:strRef>
          </c:cat>
          <c:val>
            <c:numRef>
              <c:f>'Siniestralidad 2025'!$B$2:$B$13</c:f>
              <c:numCache>
                <c:formatCode>0.0%</c:formatCode>
                <c:ptCount val="12"/>
                <c:pt idx="0">
                  <c:v>1.2509999999999999</c:v>
                </c:pt>
                <c:pt idx="1">
                  <c:v>1.153</c:v>
                </c:pt>
                <c:pt idx="2">
                  <c:v>1.141</c:v>
                </c:pt>
                <c:pt idx="3">
                  <c:v>1.1000000000000001</c:v>
                </c:pt>
                <c:pt idx="4">
                  <c:v>1.097</c:v>
                </c:pt>
                <c:pt idx="5">
                  <c:v>1.0940000000000001</c:v>
                </c:pt>
                <c:pt idx="6">
                  <c:v>1.1040000000000001</c:v>
                </c:pt>
                <c:pt idx="7">
                  <c:v>1.08</c:v>
                </c:pt>
                <c:pt idx="8">
                  <c:v>1.0759999999999998</c:v>
                </c:pt>
                <c:pt idx="9">
                  <c:v>1.079</c:v>
                </c:pt>
                <c:pt idx="10">
                  <c:v>1.0569999999999999</c:v>
                </c:pt>
                <c:pt idx="11">
                  <c:v>1.034</c:v>
                </c:pt>
              </c:numCache>
            </c:numRef>
          </c:val>
          <c:smooth val="0"/>
          <c:extLst>
            <c:ext xmlns:c16="http://schemas.microsoft.com/office/drawing/2014/chart" uri="{C3380CC4-5D6E-409C-BE32-E72D297353CC}">
              <c16:uniqueId val="{00000000-D50E-4FCC-8910-E9EEC1E8D0A8}"/>
            </c:ext>
          </c:extLst>
        </c:ser>
        <c:dLbls>
          <c:dLblPos val="t"/>
          <c:showLegendKey val="0"/>
          <c:showVal val="1"/>
          <c:showCatName val="0"/>
          <c:showSerName val="0"/>
          <c:showPercent val="0"/>
          <c:showBubbleSize val="0"/>
        </c:dLbls>
        <c:marker val="1"/>
        <c:smooth val="0"/>
        <c:axId val="48650112"/>
        <c:axId val="48672768"/>
      </c:lineChart>
      <c:catAx>
        <c:axId val="48650112"/>
        <c:scaling>
          <c:orientation val="minMax"/>
        </c:scaling>
        <c:delete val="0"/>
        <c:axPos val="b"/>
        <c:numFmt formatCode="General" sourceLinked="1"/>
        <c:majorTickMark val="none"/>
        <c:minorTickMark val="none"/>
        <c:tickLblPos val="nextTo"/>
        <c:crossAx val="48672768"/>
        <c:crosses val="autoZero"/>
        <c:auto val="1"/>
        <c:lblAlgn val="ctr"/>
        <c:lblOffset val="100"/>
        <c:noMultiLvlLbl val="0"/>
      </c:catAx>
      <c:valAx>
        <c:axId val="48672768"/>
        <c:scaling>
          <c:orientation val="minMax"/>
          <c:min val="0.8"/>
        </c:scaling>
        <c:delete val="1"/>
        <c:axPos val="l"/>
        <c:numFmt formatCode="0.0%" sourceLinked="1"/>
        <c:majorTickMark val="none"/>
        <c:minorTickMark val="none"/>
        <c:tickLblPos val="nextTo"/>
        <c:crossAx val="48650112"/>
        <c:crosses val="autoZero"/>
        <c:crossBetween val="between"/>
      </c:valAx>
    </c:plotArea>
    <c:plotVisOnly val="1"/>
    <c:dispBlanksAs val="zero"/>
    <c:showDLblsOverMax val="1"/>
  </c:chart>
  <c:spPr>
    <a:ln w="9525">
      <a:noFill/>
      <a:prstDash val="solid"/>
    </a:ln>
  </c:spPr>
  <c:txPr>
    <a:bodyPr/>
    <a:lstStyle/>
    <a:p>
      <a:pPr>
        <a:defRPr sz="900">
          <a:latin typeface="Arial" panose="020B0604020202020204" pitchFamily="34" charset="0"/>
          <a:cs typeface="Arial" panose="020B0604020202020204" pitchFamily="34" charset="0"/>
        </a:defRPr>
      </a:pPr>
      <a:endParaRPr lang="es-CO"/>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6992064470121074E-2"/>
          <c:y val="3.5584998990510805E-2"/>
          <c:w val="0.94528863717763001"/>
          <c:h val="0.80693241469816268"/>
        </c:manualLayout>
      </c:layout>
      <c:lineChart>
        <c:grouping val="standard"/>
        <c:varyColors val="1"/>
        <c:ser>
          <c:idx val="0"/>
          <c:order val="0"/>
          <c:spPr>
            <a:ln>
              <a:solidFill>
                <a:srgbClr val="C00000"/>
              </a:solidFill>
            </a:ln>
          </c:spPr>
          <c:marker>
            <c:spPr>
              <a:ln>
                <a:solidFill>
                  <a:srgbClr val="C00000"/>
                </a:solidFill>
              </a:ln>
            </c:spPr>
          </c:marke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Datos!$A$4:$A$15</c:f>
              <c:strCache>
                <c:ptCount val="12"/>
                <c:pt idx="0">
                  <c:v>ene-25</c:v>
                </c:pt>
                <c:pt idx="1">
                  <c:v>feb-25</c:v>
                </c:pt>
                <c:pt idx="2">
                  <c:v>mar-25</c:v>
                </c:pt>
                <c:pt idx="3">
                  <c:v>abr-25</c:v>
                </c:pt>
                <c:pt idx="4">
                  <c:v>may-25</c:v>
                </c:pt>
                <c:pt idx="5">
                  <c:v>jun-25</c:v>
                </c:pt>
                <c:pt idx="6">
                  <c:v>jul-25</c:v>
                </c:pt>
                <c:pt idx="7">
                  <c:v>ago-25</c:v>
                </c:pt>
                <c:pt idx="8">
                  <c:v>sep-25</c:v>
                </c:pt>
                <c:pt idx="9">
                  <c:v>oct-25</c:v>
                </c:pt>
                <c:pt idx="10">
                  <c:v>nov-25</c:v>
                </c:pt>
                <c:pt idx="11">
                  <c:v>dic-25</c:v>
                </c:pt>
              </c:strCache>
            </c:strRef>
          </c:cat>
          <c:val>
            <c:numRef>
              <c:f>Datos!$D$4:$D$15</c:f>
              <c:numCache>
                <c:formatCode>0.0%</c:formatCode>
                <c:ptCount val="12"/>
                <c:pt idx="0">
                  <c:v>0.85739251787392068</c:v>
                </c:pt>
                <c:pt idx="1">
                  <c:v>0.90900145548471745</c:v>
                </c:pt>
                <c:pt idx="2">
                  <c:v>0.92948597387190579</c:v>
                </c:pt>
                <c:pt idx="3">
                  <c:v>0.93983764162724059</c:v>
                </c:pt>
                <c:pt idx="4">
                  <c:v>0.99367870331076336</c:v>
                </c:pt>
                <c:pt idx="5">
                  <c:v>0.95122283928545592</c:v>
                </c:pt>
                <c:pt idx="6">
                  <c:v>0.98835645576562103</c:v>
                </c:pt>
                <c:pt idx="7">
                  <c:v>0.99959074029863926</c:v>
                </c:pt>
                <c:pt idx="8">
                  <c:v>0.9595452751948661</c:v>
                </c:pt>
                <c:pt idx="9">
                  <c:v>0.99388455477896043</c:v>
                </c:pt>
                <c:pt idx="10">
                  <c:v>0.94423794924879112</c:v>
                </c:pt>
                <c:pt idx="11">
                  <c:v>0.96222996372031666</c:v>
                </c:pt>
              </c:numCache>
            </c:numRef>
          </c:val>
          <c:smooth val="0"/>
          <c:extLst>
            <c:ext xmlns:c16="http://schemas.microsoft.com/office/drawing/2014/chart" uri="{C3380CC4-5D6E-409C-BE32-E72D297353CC}">
              <c16:uniqueId val="{00000000-9AB2-4AAA-8B7F-CD550052D1A6}"/>
            </c:ext>
          </c:extLst>
        </c:ser>
        <c:dLbls>
          <c:dLblPos val="t"/>
          <c:showLegendKey val="0"/>
          <c:showVal val="1"/>
          <c:showCatName val="0"/>
          <c:showSerName val="0"/>
          <c:showPercent val="0"/>
          <c:showBubbleSize val="0"/>
        </c:dLbls>
        <c:marker val="1"/>
        <c:smooth val="0"/>
        <c:axId val="48650112"/>
        <c:axId val="48672768"/>
      </c:lineChart>
      <c:catAx>
        <c:axId val="48650112"/>
        <c:scaling>
          <c:orientation val="minMax"/>
        </c:scaling>
        <c:delete val="0"/>
        <c:axPos val="b"/>
        <c:numFmt formatCode="General" sourceLinked="1"/>
        <c:majorTickMark val="none"/>
        <c:minorTickMark val="none"/>
        <c:tickLblPos val="nextTo"/>
        <c:txPr>
          <a:bodyPr/>
          <a:lstStyle/>
          <a:p>
            <a:pPr>
              <a:defRPr sz="1000"/>
            </a:pPr>
            <a:endParaRPr lang="es-CO"/>
          </a:p>
        </c:txPr>
        <c:crossAx val="48672768"/>
        <c:crosses val="autoZero"/>
        <c:auto val="1"/>
        <c:lblAlgn val="ctr"/>
        <c:lblOffset val="100"/>
        <c:noMultiLvlLbl val="0"/>
      </c:catAx>
      <c:valAx>
        <c:axId val="48672768"/>
        <c:scaling>
          <c:orientation val="minMax"/>
          <c:min val="0.8"/>
        </c:scaling>
        <c:delete val="1"/>
        <c:axPos val="l"/>
        <c:numFmt formatCode="0.0%" sourceLinked="0"/>
        <c:majorTickMark val="none"/>
        <c:minorTickMark val="none"/>
        <c:tickLblPos val="nextTo"/>
        <c:crossAx val="48650112"/>
        <c:crosses val="autoZero"/>
        <c:crossBetween val="between"/>
      </c:valAx>
    </c:plotArea>
    <c:plotVisOnly val="1"/>
    <c:dispBlanksAs val="zero"/>
    <c:showDLblsOverMax val="1"/>
  </c:chart>
  <c:spPr>
    <a:ln w="9525">
      <a:noFill/>
      <a:prstDash val="solid"/>
    </a:ln>
  </c:spPr>
  <c:txPr>
    <a:bodyPr/>
    <a:lstStyle/>
    <a:p>
      <a:pPr>
        <a:defRPr sz="1100">
          <a:latin typeface="Arial" panose="020B0604020202020204" pitchFamily="34" charset="0"/>
          <a:cs typeface="Arial" panose="020B0604020202020204" pitchFamily="34" charset="0"/>
        </a:defRPr>
      </a:pPr>
      <a:endParaRPr lang="es-CO"/>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A62F358A0D1E84B8A3EFB191CDA2B11" ma:contentTypeVersion="13" ma:contentTypeDescription="Crear nuevo documento." ma:contentTypeScope="" ma:versionID="5d1bdb202ad87fec3c66b46319e79c1d">
  <xsd:schema xmlns:xsd="http://www.w3.org/2001/XMLSchema" xmlns:xs="http://www.w3.org/2001/XMLSchema" xmlns:p="http://schemas.microsoft.com/office/2006/metadata/properties" xmlns:ns2="76a38297-7708-4b19-93b1-119b8e8239f4" xmlns:ns3="61559883-7709-4073-94ff-6ee5816d7111" targetNamespace="http://schemas.microsoft.com/office/2006/metadata/properties" ma:root="true" ma:fieldsID="19301f7f4cf9251f3da58cf770199eda" ns2:_="" ns3:_="">
    <xsd:import namespace="76a38297-7708-4b19-93b1-119b8e8239f4"/>
    <xsd:import namespace="61559883-7709-4073-94ff-6ee5816d71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a38297-7708-4b19-93b1-119b8e8239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59883-7709-4073-94ff-6ee5816d711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6735e0a9-3993-4d86-a73a-60e3fbc19586}" ma:internalName="TaxCatchAll" ma:showField="CatchAllData" ma:web="61559883-7709-4073-94ff-6ee5816d71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559883-7709-4073-94ff-6ee5816d7111" xsi:nil="true"/>
    <lcf76f155ced4ddcb4097134ff3c332f xmlns="76a38297-7708-4b19-93b1-119b8e8239f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1515D-DEA5-4017-AFB8-DB93056DE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a38297-7708-4b19-93b1-119b8e8239f4"/>
    <ds:schemaRef ds:uri="61559883-7709-4073-94ff-6ee5816d71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0A2580-0E12-478B-8E39-6F4CBA7737E6}">
  <ds:schemaRefs>
    <ds:schemaRef ds:uri="http://schemas.microsoft.com/sharepoint/v3/contenttype/forms"/>
  </ds:schemaRefs>
</ds:datastoreItem>
</file>

<file path=customXml/itemProps3.xml><?xml version="1.0" encoding="utf-8"?>
<ds:datastoreItem xmlns:ds="http://schemas.openxmlformats.org/officeDocument/2006/customXml" ds:itemID="{C7E930CB-7D35-4768-AEE1-0B251CAC1A37}">
  <ds:schemaRefs>
    <ds:schemaRef ds:uri="http://schemas.microsoft.com/office/2006/metadata/properties"/>
    <ds:schemaRef ds:uri="http://schemas.microsoft.com/office/infopath/2007/PartnerControls"/>
    <ds:schemaRef ds:uri="61559883-7709-4073-94ff-6ee5816d7111"/>
    <ds:schemaRef ds:uri="76a38297-7708-4b19-93b1-119b8e8239f4"/>
  </ds:schemaRefs>
</ds:datastoreItem>
</file>

<file path=customXml/itemProps4.xml><?xml version="1.0" encoding="utf-8"?>
<ds:datastoreItem xmlns:ds="http://schemas.openxmlformats.org/officeDocument/2006/customXml" ds:itemID="{37E90387-E828-4069-87A1-7B60B91AF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93</Pages>
  <Words>24882</Words>
  <Characters>136851</Characters>
  <Application>Microsoft Office Word</Application>
  <DocSecurity>0</DocSecurity>
  <Lines>1140</Lines>
  <Paragraphs>322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Andrea, Lopez Higuera</dc:creator>
  <dc:description/>
  <cp:lastModifiedBy>Henry Jose, Forero Fernandez</cp:lastModifiedBy>
  <cp:revision>3</cp:revision>
  <cp:lastPrinted>2026-03-02T10:19:00Z</cp:lastPrinted>
  <dcterms:created xsi:type="dcterms:W3CDTF">2026-06-29T00:00:00Z</dcterms:created>
  <dcterms:modified xsi:type="dcterms:W3CDTF">2026-06-29T00:03:00Z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0x0101003A62F358A0D1E84B8A3EFB191CDA2B11</vt:lpwstr>
  </property>
  <property fmtid="{D5CDD505-2E9C-101B-9397-08002B2CF9AE}" pid="3" name="MediaServiceImageTags">
    <vt:lpwstr/>
  </property>
</Properties>
</file>